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8" w:lineRule="exact"/>
        <w:jc w:val="center"/>
        <w:rPr>
          <w:rFonts w:ascii="方正小标宋简体" w:eastAsia="方正小标宋简体"/>
          <w:sz w:val="44"/>
          <w:szCs w:val="44"/>
        </w:rPr>
      </w:pPr>
      <w:r>
        <w:rPr>
          <w:rFonts w:hint="eastAsia" w:ascii="方正小标宋简体" w:eastAsia="方正小标宋简体"/>
          <w:sz w:val="44"/>
          <w:szCs w:val="44"/>
        </w:rPr>
        <w:t>关于加快推进森工企业转型</w:t>
      </w:r>
    </w:p>
    <w:p>
      <w:pPr>
        <w:spacing w:line="578" w:lineRule="exact"/>
        <w:jc w:val="center"/>
        <w:rPr>
          <w:rFonts w:hint="eastAsia" w:ascii="方正小标宋简体" w:eastAsia="方正小标宋简体"/>
          <w:sz w:val="44"/>
          <w:szCs w:val="44"/>
        </w:rPr>
      </w:pPr>
      <w:r>
        <w:rPr>
          <w:rFonts w:hint="eastAsia" w:ascii="方正小标宋简体" w:eastAsia="方正小标宋简体"/>
          <w:sz w:val="44"/>
          <w:szCs w:val="44"/>
        </w:rPr>
        <w:t>发展的支持意见</w:t>
      </w:r>
    </w:p>
    <w:p>
      <w:pPr>
        <w:spacing w:line="578" w:lineRule="exact"/>
        <w:jc w:val="center"/>
        <w:rPr>
          <w:rFonts w:hint="eastAsia" w:ascii="仿宋_GB2312" w:hAnsi="仿宋_GB2312" w:eastAsia="仿宋_GB2312" w:cs="仿宋_GB2312"/>
          <w:sz w:val="32"/>
          <w:szCs w:val="32"/>
          <w:lang w:val="en-US" w:eastAsia="zh-CN"/>
        </w:rPr>
      </w:pPr>
    </w:p>
    <w:p>
      <w:pPr>
        <w:spacing w:line="578" w:lineRule="exact"/>
        <w:jc w:val="center"/>
        <w:rPr>
          <w:rFonts w:hint="eastAsia" w:ascii="仿宋_GB2312" w:hAnsi="仿宋_GB2312" w:eastAsia="仿宋_GB2312" w:cs="仿宋_GB2312"/>
          <w:sz w:val="32"/>
          <w:szCs w:val="32"/>
          <w:lang w:val="en-US" w:eastAsia="zh-CN"/>
        </w:rPr>
      </w:pPr>
      <w:bookmarkStart w:id="0" w:name="_GoBack"/>
      <w:bookmarkEnd w:id="0"/>
      <w:r>
        <w:rPr>
          <w:rFonts w:hint="eastAsia" w:ascii="仿宋_GB2312" w:hAnsi="仿宋_GB2312" w:eastAsia="仿宋_GB2312" w:cs="仿宋_GB2312"/>
          <w:sz w:val="32"/>
          <w:szCs w:val="32"/>
          <w:lang w:val="en-US" w:eastAsia="zh-CN"/>
        </w:rPr>
        <w:t>黑林草发〔2021〕4号</w:t>
      </w:r>
    </w:p>
    <w:p>
      <w:pPr>
        <w:spacing w:line="578" w:lineRule="exact"/>
        <w:rPr>
          <w:rFonts w:ascii="仿宋_GB2312" w:eastAsia="仿宋_GB2312"/>
          <w:sz w:val="32"/>
          <w:szCs w:val="32"/>
        </w:rPr>
      </w:pPr>
    </w:p>
    <w:p>
      <w:pPr>
        <w:spacing w:line="578"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各市（地）、县（市、区、管委会）林草主管部门，省林草局机关各部门、直属各单位，省林业科学院：</w:t>
      </w:r>
    </w:p>
    <w:p>
      <w:pPr>
        <w:spacing w:line="578" w:lineRule="exact"/>
        <w:ind w:firstLine="640" w:firstLineChars="200"/>
        <w:rPr>
          <w:rFonts w:ascii="仿宋_GB2312" w:eastAsia="仿宋_GB2312"/>
          <w:sz w:val="32"/>
          <w:szCs w:val="32"/>
        </w:rPr>
      </w:pPr>
      <w:r>
        <w:rPr>
          <w:rFonts w:hint="eastAsia" w:ascii="仿宋_GB2312" w:eastAsia="仿宋_GB2312"/>
          <w:sz w:val="32"/>
          <w:szCs w:val="32"/>
        </w:rPr>
        <w:t>为深入贯彻习近平总书记对我省重点国有林区改革发展相关重要指示精神，落实省委省政府推进重点国有林区转型发展的决策部署，巩固重点国有林区改革成果，全力做好改革后半篇文章，推动改革不断深化，结合工作实际，对加快推进森工企业转型发展提出以下支持意见。</w:t>
      </w:r>
    </w:p>
    <w:p>
      <w:pPr>
        <w:spacing w:line="578" w:lineRule="exact"/>
        <w:ind w:firstLine="640" w:firstLineChars="200"/>
        <w:rPr>
          <w:rFonts w:ascii="黑体" w:hAnsi="黑体" w:eastAsia="黑体"/>
          <w:sz w:val="32"/>
          <w:szCs w:val="32"/>
        </w:rPr>
      </w:pPr>
      <w:r>
        <w:rPr>
          <w:rFonts w:hint="eastAsia" w:ascii="黑体" w:hAnsi="黑体" w:eastAsia="黑体"/>
          <w:sz w:val="32"/>
          <w:szCs w:val="32"/>
        </w:rPr>
        <w:t>一、推动森工企业与地方经济社会一体化发展</w:t>
      </w:r>
    </w:p>
    <w:p>
      <w:pPr>
        <w:spacing w:line="578" w:lineRule="exact"/>
        <w:ind w:firstLine="640" w:firstLineChars="200"/>
        <w:rPr>
          <w:rFonts w:ascii="仿宋_GB2312" w:eastAsia="仿宋_GB2312"/>
          <w:sz w:val="32"/>
          <w:szCs w:val="32"/>
        </w:rPr>
      </w:pPr>
      <w:r>
        <w:rPr>
          <w:rFonts w:hint="eastAsia" w:ascii="楷体_GB2312" w:eastAsia="楷体_GB2312"/>
          <w:sz w:val="32"/>
          <w:szCs w:val="32"/>
        </w:rPr>
        <w:t>1.加强规划统筹。</w:t>
      </w:r>
      <w:r>
        <w:rPr>
          <w:rFonts w:hint="eastAsia" w:ascii="仿宋_GB2312" w:eastAsia="仿宋_GB2312"/>
          <w:sz w:val="32"/>
          <w:szCs w:val="32"/>
        </w:rPr>
        <w:t>将森工企业纳入《黑龙江省林草保护和发展“十四五”规划》《绿水青山就是金山银山——黑龙江省林草业产业发展规划》和各类专项规划以及2035年远景目标，打破地方林草和森工企业界限，实现在各项工作上同一标准，同等待遇，推进森工企业与地方融合发展。</w:t>
      </w:r>
    </w:p>
    <w:p>
      <w:pPr>
        <w:spacing w:line="578" w:lineRule="exact"/>
        <w:ind w:firstLine="645"/>
        <w:rPr>
          <w:rFonts w:ascii="仿宋_GB2312" w:eastAsia="仿宋_GB2312"/>
          <w:sz w:val="32"/>
          <w:szCs w:val="32"/>
        </w:rPr>
      </w:pPr>
      <w:r>
        <w:rPr>
          <w:rFonts w:hint="eastAsia" w:ascii="楷体_GB2312" w:eastAsia="楷体_GB2312"/>
          <w:sz w:val="32"/>
          <w:szCs w:val="32"/>
        </w:rPr>
        <w:t>2.做好项目前期服务。</w:t>
      </w:r>
      <w:r>
        <w:rPr>
          <w:rFonts w:hint="eastAsia" w:ascii="仿宋_GB2312" w:eastAsia="仿宋_GB2312"/>
          <w:sz w:val="32"/>
          <w:szCs w:val="32"/>
        </w:rPr>
        <w:t>省林草局每年依据规划，按照国家、省投资方向和有关要求，制定项目申报指南，指导森工企业将项目纳入储备库，精准申报项目。</w:t>
      </w:r>
    </w:p>
    <w:p>
      <w:pPr>
        <w:spacing w:line="578" w:lineRule="exact"/>
        <w:ind w:firstLine="645"/>
        <w:rPr>
          <w:rFonts w:ascii="仿宋_GB2312" w:eastAsia="仿宋_GB2312"/>
          <w:sz w:val="32"/>
          <w:szCs w:val="32"/>
        </w:rPr>
      </w:pPr>
      <w:r>
        <w:rPr>
          <w:rFonts w:hint="eastAsia" w:ascii="楷体_GB2312" w:eastAsia="楷体_GB2312"/>
          <w:sz w:val="32"/>
          <w:szCs w:val="32"/>
        </w:rPr>
        <w:t>3.简化项目审批程序。</w:t>
      </w:r>
      <w:r>
        <w:rPr>
          <w:rFonts w:hint="eastAsia" w:ascii="仿宋_GB2312" w:eastAsia="仿宋_GB2312"/>
          <w:sz w:val="32"/>
          <w:szCs w:val="32"/>
        </w:rPr>
        <w:t>省林草局只对口森工集团，不对口集团下属企业。龙江森工、伊春森工林业和草原中央预算内投资项目可行性研究报告、初步设计文件由两大森工集团报省林草局审批，项目验收由省林草局组织开展。大兴安岭林业集团按照现有程序办理。省级预算项目按照有关规定执行。</w:t>
      </w:r>
    </w:p>
    <w:p>
      <w:pPr>
        <w:spacing w:line="578" w:lineRule="exact"/>
        <w:ind w:firstLine="645"/>
        <w:rPr>
          <w:rFonts w:ascii="仿宋_GB2312" w:eastAsia="仿宋_GB2312"/>
          <w:sz w:val="32"/>
          <w:szCs w:val="32"/>
        </w:rPr>
      </w:pPr>
      <w:r>
        <w:rPr>
          <w:rFonts w:hint="eastAsia" w:ascii="楷体_GB2312" w:eastAsia="楷体_GB2312"/>
          <w:sz w:val="32"/>
          <w:szCs w:val="32"/>
        </w:rPr>
        <w:t>4.实施委托项目监管。</w:t>
      </w:r>
      <w:r>
        <w:rPr>
          <w:rFonts w:hint="eastAsia" w:ascii="仿宋_GB2312" w:eastAsia="仿宋_GB2312"/>
          <w:sz w:val="32"/>
          <w:szCs w:val="32"/>
        </w:rPr>
        <w:t>省林草局委托森工集团履行项目日常监管职责，规范监管行为，督促森工集团对下属企业和相关单位严格履行基本建设程序，执行中央预算内投资计划，按照批复的内容组织好项目实施。</w:t>
      </w:r>
    </w:p>
    <w:p>
      <w:pPr>
        <w:spacing w:line="578" w:lineRule="exact"/>
        <w:ind w:firstLine="645"/>
        <w:rPr>
          <w:rFonts w:ascii="仿宋_GB2312" w:eastAsia="仿宋_GB2312"/>
          <w:sz w:val="32"/>
          <w:szCs w:val="32"/>
        </w:rPr>
      </w:pPr>
      <w:r>
        <w:rPr>
          <w:rFonts w:hint="eastAsia" w:ascii="楷体_GB2312" w:eastAsia="楷体_GB2312"/>
          <w:sz w:val="32"/>
          <w:szCs w:val="32"/>
        </w:rPr>
        <w:t>5.科学利用财政资金。</w:t>
      </w:r>
      <w:r>
        <w:rPr>
          <w:rFonts w:hint="eastAsia" w:ascii="仿宋_GB2312" w:eastAsia="仿宋_GB2312"/>
          <w:sz w:val="32"/>
          <w:szCs w:val="32"/>
        </w:rPr>
        <w:t>省林草局做好沟通协调服务工作，积极组织森工企业申报项目入库，会同省财政厅及时申报，并按照相关程序要求拨付相关资金，根据《林业草原生态保护恢复资金管理办法》和《林业改革发展资金管理办法》相关要求进行资金绩效评价。</w:t>
      </w:r>
    </w:p>
    <w:p>
      <w:pPr>
        <w:spacing w:line="578" w:lineRule="exact"/>
        <w:rPr>
          <w:rFonts w:ascii="黑体" w:hAnsi="黑体" w:eastAsia="黑体"/>
          <w:sz w:val="32"/>
          <w:szCs w:val="32"/>
        </w:rPr>
      </w:pPr>
      <w:r>
        <w:rPr>
          <w:rFonts w:hint="eastAsia" w:ascii="仿宋_GB2312" w:eastAsia="仿宋_GB2312"/>
          <w:sz w:val="32"/>
          <w:szCs w:val="32"/>
        </w:rPr>
        <w:t xml:space="preserve">    </w:t>
      </w:r>
      <w:r>
        <w:rPr>
          <w:rFonts w:hint="eastAsia" w:ascii="黑体" w:hAnsi="黑体" w:eastAsia="黑体"/>
          <w:sz w:val="32"/>
          <w:szCs w:val="32"/>
        </w:rPr>
        <w:t>二、加大对森工企业森林资源保护利用支持力度</w:t>
      </w:r>
    </w:p>
    <w:p>
      <w:pPr>
        <w:spacing w:line="578" w:lineRule="exact"/>
        <w:ind w:firstLine="640" w:firstLineChars="200"/>
        <w:rPr>
          <w:rFonts w:ascii="仿宋_GB2312" w:hAnsi="仿宋_GB2312" w:eastAsia="仿宋_GB2312"/>
          <w:sz w:val="32"/>
          <w:szCs w:val="32"/>
        </w:rPr>
      </w:pPr>
      <w:r>
        <w:rPr>
          <w:rFonts w:hint="eastAsia" w:ascii="楷体_GB2312" w:hAnsi="仿宋_GB2312" w:eastAsia="楷体_GB2312"/>
          <w:sz w:val="32"/>
          <w:szCs w:val="32"/>
        </w:rPr>
        <w:t>6.优化林地使用程序。</w:t>
      </w:r>
      <w:r>
        <w:rPr>
          <w:rFonts w:hint="eastAsia" w:ascii="仿宋_GB2312" w:hAnsi="仿宋_GB2312" w:eastAsia="仿宋_GB2312"/>
          <w:sz w:val="32"/>
          <w:szCs w:val="32"/>
        </w:rPr>
        <w:t>对森工企业基础设施、涉及民生的公益类项目以及修筑直接为林业生产服务的设施建设使用林地，采取林业局有限公司现地核实、森工集团审查把关、省林草局初审上报或批准的方式办理。大兴安岭林业集团公司范围内的林地审核审批仍按照现行程序和方式进行办理。</w:t>
      </w:r>
    </w:p>
    <w:p>
      <w:pPr>
        <w:spacing w:line="578" w:lineRule="exact"/>
        <w:rPr>
          <w:rFonts w:ascii="仿宋_GB2312" w:hAnsi="仿宋_GB2312" w:eastAsia="仿宋_GB2312"/>
          <w:sz w:val="32"/>
          <w:szCs w:val="32"/>
        </w:rPr>
      </w:pPr>
      <w:r>
        <w:rPr>
          <w:rFonts w:hint="eastAsia" w:ascii="仿宋_GB2312" w:hAnsi="仿宋_GB2312" w:eastAsia="仿宋_GB2312"/>
          <w:sz w:val="32"/>
          <w:szCs w:val="32"/>
        </w:rPr>
        <w:t xml:space="preserve">   </w:t>
      </w:r>
      <w:r>
        <w:rPr>
          <w:rFonts w:hint="eastAsia" w:ascii="楷体_GB2312" w:hAnsi="仿宋_GB2312" w:eastAsia="楷体_GB2312"/>
          <w:sz w:val="32"/>
          <w:szCs w:val="32"/>
        </w:rPr>
        <w:t xml:space="preserve"> 7.建立森林抚育联动机制。</w:t>
      </w:r>
      <w:r>
        <w:rPr>
          <w:rFonts w:hint="eastAsia" w:ascii="仿宋_GB2312" w:hAnsi="仿宋_GB2312" w:eastAsia="仿宋_GB2312"/>
          <w:sz w:val="32"/>
          <w:szCs w:val="32"/>
        </w:rPr>
        <w:t>森工集团负责组织开展作业设计、实施、检查、验收、评价等工作，并于次年4月底前将森林抚育作业质量验收结果报省林草局，省林草局将会同省财政厅组织开展省级抽查。</w:t>
      </w:r>
    </w:p>
    <w:p>
      <w:pPr>
        <w:spacing w:line="578" w:lineRule="exact"/>
        <w:ind w:firstLine="640" w:firstLineChars="200"/>
        <w:rPr>
          <w:rFonts w:ascii="黑体" w:hAnsi="黑体" w:eastAsia="黑体"/>
          <w:sz w:val="32"/>
          <w:szCs w:val="32"/>
        </w:rPr>
      </w:pPr>
      <w:r>
        <w:rPr>
          <w:rFonts w:hint="eastAsia" w:ascii="黑体" w:hAnsi="黑体" w:eastAsia="黑体"/>
          <w:sz w:val="32"/>
          <w:szCs w:val="32"/>
        </w:rPr>
        <w:t>三、促进重点国有林区生态修复</w:t>
      </w:r>
    </w:p>
    <w:p>
      <w:pPr>
        <w:spacing w:line="578" w:lineRule="exact"/>
        <w:ind w:firstLine="640" w:firstLineChars="200"/>
        <w:rPr>
          <w:rFonts w:ascii="仿宋_GB2312" w:hAnsi="仿宋" w:eastAsia="仿宋_GB2312"/>
          <w:sz w:val="32"/>
          <w:szCs w:val="32"/>
        </w:rPr>
      </w:pPr>
      <w:r>
        <w:rPr>
          <w:rFonts w:hint="eastAsia" w:ascii="楷体_GB2312" w:hAnsi="仿宋" w:eastAsia="楷体_GB2312"/>
          <w:sz w:val="32"/>
          <w:szCs w:val="32"/>
        </w:rPr>
        <w:t>8.统筹退耕还林政策。</w:t>
      </w:r>
      <w:r>
        <w:rPr>
          <w:rFonts w:hint="eastAsia" w:ascii="仿宋_GB2312" w:hAnsi="仿宋" w:eastAsia="仿宋_GB2312"/>
          <w:sz w:val="32"/>
          <w:szCs w:val="32"/>
        </w:rPr>
        <w:t>省林草局积极配合省发改委向国家争取将重点国有林区符合退耕还林条件的地块纳入国家退耕还林还草工程实施范围，帮助森工企业争取退耕还林还草工程年度建设任务，指导森工集团编制年度退耕还林实施方案及备案工作，组织开展森工集团退耕还林省级检查验收工作。</w:t>
      </w:r>
    </w:p>
    <w:p>
      <w:pPr>
        <w:spacing w:line="578" w:lineRule="exact"/>
        <w:ind w:firstLine="640" w:firstLineChars="200"/>
        <w:rPr>
          <w:rFonts w:ascii="仿宋_GB2312" w:hAnsi="仿宋" w:eastAsia="仿宋_GB2312"/>
          <w:sz w:val="32"/>
          <w:szCs w:val="32"/>
        </w:rPr>
      </w:pPr>
      <w:r>
        <w:rPr>
          <w:rFonts w:hint="eastAsia" w:ascii="楷体_GB2312" w:hAnsi="仿宋" w:eastAsia="楷体_GB2312"/>
          <w:sz w:val="32"/>
          <w:szCs w:val="32"/>
        </w:rPr>
        <w:t>9.积极争取国家储备林建设任务。</w:t>
      </w:r>
      <w:r>
        <w:rPr>
          <w:rFonts w:hint="eastAsia" w:ascii="仿宋_GB2312" w:hAnsi="仿宋" w:eastAsia="仿宋_GB2312"/>
          <w:sz w:val="32"/>
          <w:szCs w:val="32"/>
        </w:rPr>
        <w:t>将森工企业纳入国家储备林项目实施范围，积极帮助向国家争取项目建设任务，特别是苗圃建设和大径材培育任务。探索引入金融支持建设国家储备林项目，促进绿色金融创新，推进森工企业国家储备林项目高质量发展。</w:t>
      </w:r>
    </w:p>
    <w:p>
      <w:pPr>
        <w:spacing w:line="578" w:lineRule="exact"/>
        <w:ind w:firstLine="640" w:firstLineChars="200"/>
        <w:rPr>
          <w:rFonts w:ascii="仿宋_GB2312" w:hAnsi="仿宋" w:eastAsia="仿宋_GB2312"/>
          <w:sz w:val="32"/>
          <w:szCs w:val="32"/>
        </w:rPr>
      </w:pPr>
      <w:r>
        <w:rPr>
          <w:rFonts w:hint="eastAsia" w:ascii="楷体_GB2312" w:hAnsi="仿宋" w:eastAsia="楷体_GB2312"/>
          <w:sz w:val="32"/>
          <w:szCs w:val="32"/>
        </w:rPr>
        <w:t>10.加大防火支持力度。</w:t>
      </w:r>
      <w:r>
        <w:rPr>
          <w:rFonts w:hint="eastAsia" w:ascii="仿宋_GB2312" w:hAnsi="仿宋" w:eastAsia="仿宋_GB2312"/>
          <w:sz w:val="32"/>
          <w:szCs w:val="32"/>
        </w:rPr>
        <w:t>加大森工企业防火装备支持力度，根据森工企业防火实际需要，将省级财政购置的防火储备物资适当补充给森工企业，以满足日常火灾预防和火情早期处理需要。加大对森工企业防火培训支持力度，将森工企业纳入省林草局森林草原防火培训范围，通过开展业务培训和政策解读，进一步提高各级防火人员专业素养和技能，发挥人防、技防的关键作用，推动森工企业森林防火工作整体水平的提升。</w:t>
      </w:r>
    </w:p>
    <w:p>
      <w:pPr>
        <w:spacing w:line="578" w:lineRule="exact"/>
        <w:ind w:firstLine="640" w:firstLineChars="200"/>
        <w:rPr>
          <w:rFonts w:ascii="仿宋_GB2312" w:hAnsi="仿宋" w:eastAsia="仿宋_GB2312"/>
          <w:sz w:val="32"/>
          <w:szCs w:val="32"/>
        </w:rPr>
      </w:pPr>
      <w:r>
        <w:rPr>
          <w:rFonts w:hint="eastAsia" w:ascii="楷体_GB2312" w:hAnsi="仿宋" w:eastAsia="楷体_GB2312"/>
          <w:sz w:val="32"/>
          <w:szCs w:val="32"/>
        </w:rPr>
        <w:t>11.强化有害生物防治技术服务。</w:t>
      </w:r>
      <w:r>
        <w:rPr>
          <w:rFonts w:hint="eastAsia" w:ascii="仿宋_GB2312" w:hAnsi="仿宋" w:eastAsia="仿宋_GB2312"/>
          <w:sz w:val="32"/>
          <w:szCs w:val="32"/>
        </w:rPr>
        <w:t>将森工企业纳入全省有害生物防治统一监测体系，积极为森工企业森林病虫害监测预报、检疫和防治提供技术支持和服务，为森工企业提供森林病虫害防治专业技术培训，帮助森工企业向国家争取国家级中心测报点建设项目，根据实际情况支持森工林药企业做大做强。</w:t>
      </w:r>
    </w:p>
    <w:p>
      <w:pPr>
        <w:spacing w:line="578" w:lineRule="exact"/>
        <w:ind w:firstLine="640" w:firstLineChars="200"/>
        <w:rPr>
          <w:rFonts w:ascii="黑体" w:hAnsi="黑体" w:eastAsia="黑体"/>
          <w:sz w:val="32"/>
          <w:szCs w:val="32"/>
        </w:rPr>
      </w:pPr>
      <w:r>
        <w:rPr>
          <w:rFonts w:hint="eastAsia" w:ascii="黑体" w:hAnsi="黑体" w:eastAsia="黑体"/>
          <w:sz w:val="32"/>
          <w:szCs w:val="32"/>
        </w:rPr>
        <w:t>四、建立互联互通的智慧林草网络</w:t>
      </w:r>
    </w:p>
    <w:p>
      <w:pPr>
        <w:spacing w:line="578" w:lineRule="exact"/>
        <w:ind w:firstLine="640" w:firstLineChars="200"/>
        <w:rPr>
          <w:rFonts w:ascii="仿宋_GB2312" w:hAnsi="仿宋" w:eastAsia="仿宋_GB2312"/>
          <w:sz w:val="32"/>
          <w:szCs w:val="32"/>
        </w:rPr>
      </w:pPr>
      <w:r>
        <w:rPr>
          <w:rFonts w:hint="eastAsia" w:ascii="楷体_GB2312" w:hAnsi="仿宋" w:eastAsia="楷体_GB2312"/>
          <w:sz w:val="32"/>
          <w:szCs w:val="32"/>
        </w:rPr>
        <w:t>12.</w:t>
      </w:r>
      <w:r>
        <w:rPr>
          <w:rFonts w:hint="eastAsia" w:ascii="仿宋_GB2312" w:hAnsi="仿宋" w:eastAsia="仿宋_GB2312"/>
          <w:sz w:val="32"/>
          <w:szCs w:val="32"/>
        </w:rPr>
        <w:t>充分利用全省一个标准、一个体系、一个平台、一张图、一张网、一套数据的林草大数据智慧运算平台，为森工企业提供前置服务，指导前置平台部署和网络资源分配，向森工企业开通VPN专线，实现平台业务系统互联互通、数据资源共享共用。</w:t>
      </w:r>
    </w:p>
    <w:p>
      <w:pPr>
        <w:spacing w:line="578" w:lineRule="exact"/>
        <w:ind w:firstLine="640" w:firstLineChars="200"/>
        <w:rPr>
          <w:rFonts w:ascii="黑体" w:hAnsi="黑体" w:eastAsia="黑体"/>
          <w:sz w:val="32"/>
          <w:szCs w:val="32"/>
        </w:rPr>
      </w:pPr>
      <w:r>
        <w:rPr>
          <w:rFonts w:hint="eastAsia" w:ascii="黑体" w:hAnsi="黑体" w:eastAsia="黑体"/>
          <w:sz w:val="32"/>
          <w:szCs w:val="32"/>
        </w:rPr>
        <w:t>五、加强重点国有林区自然保护地体系建设</w:t>
      </w:r>
    </w:p>
    <w:p>
      <w:pPr>
        <w:spacing w:line="578" w:lineRule="exact"/>
        <w:ind w:firstLine="640"/>
        <w:rPr>
          <w:rFonts w:ascii="仿宋_GB2312" w:hAnsi="仿宋" w:eastAsia="仿宋_GB2312"/>
          <w:sz w:val="32"/>
          <w:szCs w:val="32"/>
        </w:rPr>
      </w:pPr>
      <w:r>
        <w:rPr>
          <w:rStyle w:val="4"/>
          <w:rFonts w:hint="eastAsia" w:ascii="楷体_GB2312" w:hAnsi="仿宋" w:eastAsia="楷体_GB2312"/>
          <w:sz w:val="32"/>
          <w:szCs w:val="32"/>
        </w:rPr>
        <w:t>13.</w:t>
      </w:r>
      <w:r>
        <w:rPr>
          <w:rFonts w:hint="eastAsia" w:ascii="仿宋_GB2312" w:hAnsi="仿宋" w:eastAsia="仿宋_GB2312"/>
          <w:sz w:val="32"/>
          <w:szCs w:val="32"/>
        </w:rPr>
        <w:t>待国家批复全省自然保护地整合优化预案后，及时提供涉及森工企业的自然保护地矢量数据，服务好涉及森工企业各类自然保护地的建立、调整、晋升和有关行政许可审批指导工作。大力支持森工企业申报国家级自然保护区基础设施建设工程。依据森工集团意见，科学分配森林类型和湿地类型国家级自然保护区林业改革发展资金补助资金。</w:t>
      </w:r>
    </w:p>
    <w:p>
      <w:pPr>
        <w:spacing w:line="578" w:lineRule="exact"/>
        <w:ind w:firstLine="640" w:firstLineChars="200"/>
        <w:rPr>
          <w:rFonts w:ascii="黑体" w:hAnsi="黑体" w:eastAsia="黑体"/>
          <w:sz w:val="32"/>
          <w:szCs w:val="32"/>
        </w:rPr>
      </w:pPr>
      <w:r>
        <w:rPr>
          <w:rFonts w:hint="eastAsia" w:ascii="黑体" w:hAnsi="黑体" w:eastAsia="黑体"/>
          <w:sz w:val="32"/>
          <w:szCs w:val="32"/>
        </w:rPr>
        <w:t>六、完善支持森工企业产业发展政策体系</w:t>
      </w:r>
    </w:p>
    <w:p>
      <w:pPr>
        <w:spacing w:line="578" w:lineRule="exact"/>
        <w:ind w:firstLine="645"/>
        <w:rPr>
          <w:rFonts w:ascii="仿宋_GB2312" w:hAnsi="仿宋" w:eastAsia="仿宋_GB2312"/>
          <w:sz w:val="32"/>
          <w:szCs w:val="32"/>
        </w:rPr>
      </w:pPr>
      <w:r>
        <w:rPr>
          <w:rFonts w:hint="eastAsia" w:ascii="楷体_GB2312" w:hAnsi="仿宋" w:eastAsia="楷体_GB2312"/>
          <w:sz w:val="32"/>
          <w:szCs w:val="32"/>
        </w:rPr>
        <w:t>14.</w:t>
      </w:r>
      <w:r>
        <w:rPr>
          <w:rFonts w:hint="eastAsia" w:ascii="仿宋_GB2312" w:hAnsi="仿宋" w:eastAsia="仿宋_GB2312"/>
          <w:sz w:val="32"/>
          <w:szCs w:val="32"/>
        </w:rPr>
        <w:t>将森工企业产业发展纳入林草行业经济发展总体规划，支持落实国家发改委和国家林草局等十部门联合发布的《关于科学利用林地资源促进木本粮油和林下经济高质量发展的意见》。支持森工企业建立政府主导和市场运作相结合的林业建设投资机制，不断加大资金投入，重点扶持森工企业生态旅游、森林康养、中药材生态培育、经济林产业开发推广和基地建设。共享产品可追溯系统、线上电子商务营销系统，协助与顺丰物流公司合作解决产品营销物流问题。支持森工企业申报各级政府质量奖、国家林业标准化示范企业、林业重点龙头企业、“品字标”品牌和其它各类品牌。支持森工企业申请国家森林生态标志产品，建设森林生态标志产品生产基地。</w:t>
      </w:r>
    </w:p>
    <w:p>
      <w:pPr>
        <w:spacing w:line="578" w:lineRule="exact"/>
        <w:ind w:firstLine="645"/>
        <w:rPr>
          <w:rFonts w:ascii="黑体" w:hAnsi="黑体" w:eastAsia="黑体"/>
          <w:sz w:val="32"/>
          <w:szCs w:val="32"/>
        </w:rPr>
      </w:pPr>
      <w:r>
        <w:rPr>
          <w:rFonts w:hint="eastAsia" w:ascii="黑体" w:hAnsi="黑体" w:eastAsia="黑体"/>
          <w:sz w:val="32"/>
          <w:szCs w:val="32"/>
        </w:rPr>
        <w:t>七、支持森工企业实施人才和科技强企战略</w:t>
      </w:r>
    </w:p>
    <w:p>
      <w:pPr>
        <w:spacing w:line="578" w:lineRule="exact"/>
        <w:ind w:firstLine="645"/>
        <w:rPr>
          <w:rFonts w:ascii="仿宋_GB2312" w:eastAsia="仿宋_GB2312"/>
          <w:sz w:val="32"/>
          <w:szCs w:val="32"/>
        </w:rPr>
      </w:pPr>
      <w:r>
        <w:rPr>
          <w:rFonts w:hint="eastAsia" w:ascii="楷体_GB2312" w:hAnsi="仿宋" w:eastAsia="楷体_GB2312"/>
          <w:sz w:val="32"/>
          <w:szCs w:val="32"/>
        </w:rPr>
        <w:t>15.</w:t>
      </w:r>
      <w:r>
        <w:rPr>
          <w:rFonts w:hint="eastAsia" w:ascii="仿宋_GB2312" w:hAnsi="仿宋" w:eastAsia="仿宋_GB2312"/>
          <w:sz w:val="32"/>
          <w:szCs w:val="32"/>
        </w:rPr>
        <w:t>协调东北林业大学、东北农业大学、省林科院等涉林院校和研究机构，开展科技下企业下林场活动，围绕森林经营保护和现代林业产业发展，组织开展科技攻关。支持森工企业牵头或参与申报国家、省重点研</w:t>
      </w:r>
      <w:r>
        <w:rPr>
          <w:rFonts w:hint="eastAsia" w:ascii="仿宋_GB2312" w:eastAsia="仿宋_GB2312"/>
          <w:sz w:val="32"/>
          <w:szCs w:val="32"/>
        </w:rPr>
        <w:t>发项目，</w:t>
      </w:r>
      <w:r>
        <w:rPr>
          <w:rFonts w:hint="eastAsia" w:ascii="仿宋_GB2312" w:hAnsi="仿宋" w:eastAsia="仿宋_GB2312"/>
          <w:sz w:val="32"/>
          <w:szCs w:val="32"/>
        </w:rPr>
        <w:t>申报国家、省各类产业和科技创新平台、企业研究院、科技园区，建设涉林企业研究院和林业科技园区，</w:t>
      </w:r>
      <w:r>
        <w:rPr>
          <w:rFonts w:hint="eastAsia" w:ascii="仿宋_GB2312" w:eastAsia="仿宋_GB2312"/>
          <w:sz w:val="32"/>
          <w:szCs w:val="32"/>
        </w:rPr>
        <w:t>实施重大科技成果产业化。</w:t>
      </w:r>
    </w:p>
    <w:p>
      <w:pPr>
        <w:spacing w:line="578" w:lineRule="exact"/>
        <w:ind w:firstLine="645"/>
        <w:rPr>
          <w:rFonts w:ascii="黑体" w:hAnsi="黑体" w:eastAsia="黑体"/>
          <w:sz w:val="32"/>
          <w:szCs w:val="32"/>
        </w:rPr>
      </w:pPr>
      <w:r>
        <w:rPr>
          <w:rFonts w:hint="eastAsia" w:ascii="黑体" w:hAnsi="黑体" w:eastAsia="黑体"/>
          <w:sz w:val="32"/>
          <w:szCs w:val="32"/>
        </w:rPr>
        <w:t>八、支持龙江森工对龙煤集团组织化分流人员安置</w:t>
      </w:r>
    </w:p>
    <w:p>
      <w:pPr>
        <w:spacing w:line="578" w:lineRule="exact"/>
        <w:ind w:firstLine="645"/>
        <w:rPr>
          <w:rFonts w:ascii="仿宋_GB2312" w:hAnsi="仿宋" w:eastAsia="仿宋_GB2312"/>
          <w:sz w:val="32"/>
          <w:szCs w:val="32"/>
        </w:rPr>
      </w:pPr>
      <w:r>
        <w:rPr>
          <w:rFonts w:hint="eastAsia" w:ascii="楷体_GB2312" w:hAnsi="仿宋" w:eastAsia="楷体_GB2312"/>
          <w:sz w:val="32"/>
          <w:szCs w:val="32"/>
        </w:rPr>
        <w:t>16.</w:t>
      </w:r>
      <w:r>
        <w:rPr>
          <w:rFonts w:hint="eastAsia" w:ascii="仿宋_GB2312" w:hAnsi="仿宋" w:eastAsia="仿宋_GB2312"/>
          <w:sz w:val="32"/>
          <w:szCs w:val="32"/>
        </w:rPr>
        <w:t>支持龙江森工集团接收鹤岗、双鸭山、七台河矿业集团所属国有林场转岗分流2500人的人员安置工作，在中央财政稳定天然林停伐政策基础上，继续给予鹤岗、双鸭山、七台河矿业集团林业公司所属林场资金支持，随着人员变化适当调整，用于转岗分流人员生活补助，维护林区社会稳定，服务我省改革发展大局。</w:t>
      </w:r>
    </w:p>
    <w:p>
      <w:pPr>
        <w:adjustRightInd w:val="0"/>
        <w:snapToGrid w:val="0"/>
        <w:spacing w:line="578" w:lineRule="exact"/>
        <w:ind w:firstLine="640" w:firstLineChars="200"/>
        <w:rPr>
          <w:rFonts w:ascii="黑体" w:hAnsi="黑体" w:eastAsia="黑体"/>
          <w:sz w:val="32"/>
        </w:rPr>
      </w:pPr>
      <w:r>
        <w:rPr>
          <w:rFonts w:hint="eastAsia" w:ascii="黑体" w:hAnsi="黑体" w:eastAsia="黑体"/>
          <w:sz w:val="32"/>
        </w:rPr>
        <mc:AlternateContent>
          <mc:Choice Requires="wps">
            <w:drawing>
              <wp:anchor distT="0" distB="0" distL="114300" distR="114300" simplePos="0" relativeHeight="251660288" behindDoc="0" locked="0" layoutInCell="0" hidden="1" allowOverlap="1">
                <wp:simplePos x="0" y="0"/>
                <wp:positionH relativeFrom="page">
                  <wp:posOffset>-127000</wp:posOffset>
                </wp:positionH>
                <wp:positionV relativeFrom="page">
                  <wp:posOffset>127000</wp:posOffset>
                </wp:positionV>
                <wp:extent cx="63500" cy="63500"/>
                <wp:effectExtent l="0" t="0" r="0" b="0"/>
                <wp:wrapNone/>
                <wp:docPr id="1" name="矩形 1" descr="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"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" style="position:absolute;left:0pt;margin-left:-10pt;margin-top:10pt;height:5pt;width:5pt;mso-position-horizontal-relative:page;mso-position-vertical-relative:page;visibility:hidden;z-index:251660288;mso-width-relative:page;mso-height-relative:page;"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">
                <v:path/>
                <v:fill focussize="0,0"/>
                <v:stroke/>
                <v:imagedata o:title=""/>
                <o:lock v:ext="edit"/>
              </v:rect>
            </w:pict>
          </mc:Fallback>
        </mc:AlternateContent>
      </w:r>
      <w:r>
        <w:rPr>
          <w:rFonts w:hint="eastAsia" w:ascii="黑体" w:hAnsi="黑体" w:eastAsia="黑体"/>
          <w:sz w:val="32"/>
        </w:rPr>
        <mc:AlternateContent>
          <mc:Choice Requires="wps">
            <w:drawing>
              <wp:anchor distT="0" distB="0" distL="114300" distR="114300" simplePos="0" relativeHeight="251659264" behindDoc="1" locked="0" layoutInCell="1" hidden="1" allowOverlap="1">
                <wp:simplePos x="0" y="0"/>
                <wp:positionH relativeFrom="column">
                  <wp:posOffset>-3780155</wp:posOffset>
                </wp:positionH>
                <wp:positionV relativeFrom="paragraph">
                  <wp:posOffset>-5346065</wp:posOffset>
                </wp:positionV>
                <wp:extent cx="15120620" cy="20116800"/>
                <wp:effectExtent l="0" t="0" r="0" b="0"/>
                <wp:wrapNone/>
                <wp:docPr id="2" name="矩形 2" hidden="1"/>
                <wp:cNvGraphicFramePr/>
                <a:graphic xmlns:a="http://schemas.openxmlformats.org/drawingml/2006/main">
                  <a:graphicData uri="http://schemas.microsoft.com/office/word/2010/wordprocessingShape">
                    <wps:wsp>
                      <wps:cNvSpPr/>
                      <wps:spPr>
                        <a:xfrm>
                          <a:off x="0" y="0"/>
                          <a:ext cx="15120620" cy="20116800"/>
                        </a:xfrm>
                        <a:prstGeom prst="rect">
                          <a:avLst/>
                        </a:prstGeom>
                        <a:solidFill>
                          <a:srgbClr val="FFFFFF">
                            <a:alpha val="0"/>
                          </a:srgbClr>
                        </a:solidFill>
                        <a:ln w="9525" cap="flat" cmpd="sng">
                          <a:solidFill>
                            <a:srgbClr val="FFFFFF">
                              <a:alpha val="0"/>
                            </a:srgbClr>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297.65pt;margin-top:-420.95pt;height:1584pt;width:1190.6pt;visibility:hidden;z-index:-251657216;mso-width-relative:page;mso-height-relative:page;" fillcolor="#FFFFFF" filled="t" coordsize="21600,21600" o:gfxdata="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PvV/FfaAAAADwEAAA8AAAAAAAAAAQAgAAAA&#10;IgAAAGRycy9kb3ducmV2LnhtbFBLAQIUABQAAAAIAIdO4kCH4ATzCQIAAGYEAAAOAAAAAAAAAAEA&#10;IAAAACkBAABkcnMvZTJvRG9jLnhtbFBLBQYAAAAABgAGAFkBAACkBQAAAAA=&#10;">
                <v:path/>
                <v:fill on="t" opacity="0f" focussize="0,0"/>
                <v:stroke color="#FFFFFF" opacity="0f"/>
                <v:imagedata o:title=""/>
                <o:lock v:ext="edit"/>
              </v:rect>
            </w:pict>
          </mc:Fallback>
        </mc:AlternateContent>
      </w:r>
      <w:r>
        <w:rPr>
          <w:rFonts w:hint="eastAsia" w:ascii="黑体" w:hAnsi="黑体" w:eastAsia="黑体"/>
          <w:sz w:val="32"/>
        </w:rPr>
        <w:t>九、以自然科普教育形式大力宣传重点国有林区优美的生态环境</w:t>
      </w:r>
    </w:p>
    <w:p>
      <w:pPr>
        <w:adjustRightInd w:val="0"/>
        <w:snapToGrid w:val="0"/>
        <w:spacing w:line="578" w:lineRule="exact"/>
        <w:ind w:firstLine="640" w:firstLineChars="200"/>
        <w:rPr>
          <w:rFonts w:ascii="黑体" w:hAnsi="黑体" w:eastAsia="黑体"/>
          <w:sz w:val="32"/>
        </w:rPr>
      </w:pPr>
      <w:r>
        <w:rPr>
          <w:rFonts w:hint="eastAsia" w:ascii="楷体_GB2312" w:hAnsi="仿宋" w:eastAsia="楷体_GB2312"/>
          <w:sz w:val="32"/>
          <w:szCs w:val="32"/>
        </w:rPr>
        <w:t>17.</w:t>
      </w:r>
      <w:r>
        <w:rPr>
          <w:rFonts w:hint="eastAsia" w:ascii="仿宋_GB2312" w:hAnsi="仿宋" w:eastAsia="仿宋_GB2312"/>
          <w:sz w:val="32"/>
          <w:szCs w:val="32"/>
        </w:rPr>
        <w:t>充分利用全省百万青少年进森林研学活动和开展自然教育、森林草原科普等工作，以自然教育课堂为主体，结合短视频、研学实践活动、基点校推广的综合教育方式，大力宣传重点国有林区丰富的生态资源，充分展现重点国有林区的秀美山川，加快推进森工企业生态旅游、森林康养等绿色产业高质量发展。</w:t>
      </w:r>
    </w:p>
    <w:p>
      <w:pPr>
        <w:adjustRightInd w:val="0"/>
        <w:snapToGrid w:val="0"/>
        <w:spacing w:line="578" w:lineRule="exact"/>
        <w:ind w:firstLine="640" w:firstLineChars="200"/>
        <w:rPr>
          <w:rFonts w:ascii="仿宋_GB2312" w:hAnsi="仿宋_GB2312" w:eastAsia="仿宋_GB2312"/>
          <w:sz w:val="32"/>
        </w:rPr>
      </w:pPr>
      <w:r>
        <w:rPr>
          <w:rFonts w:hint="eastAsia" w:ascii="仿宋_GB2312" w:hAnsi="仿宋" w:eastAsia="仿宋_GB2312"/>
          <w:sz w:val="32"/>
          <w:szCs w:val="32"/>
        </w:rPr>
        <w:t>此外，省</w:t>
      </w:r>
      <w:r>
        <w:rPr>
          <w:rFonts w:hint="eastAsia" w:ascii="仿宋_GB2312" w:hAnsi="仿宋_GB2312" w:eastAsia="仿宋_GB2312"/>
          <w:sz w:val="32"/>
        </w:rPr>
        <w:t>林草局将会同有关部门，采取“一事一议”等方式</w:t>
      </w:r>
      <w:r>
        <w:rPr>
          <w:rFonts w:hint="eastAsia" w:ascii="仿宋_GB2312" w:hAnsi="仿宋" w:eastAsia="仿宋_GB2312"/>
          <w:sz w:val="32"/>
          <w:szCs w:val="32"/>
        </w:rPr>
        <w:t>跟进后续支持，</w:t>
      </w:r>
      <w:r>
        <w:rPr>
          <w:rFonts w:hint="eastAsia" w:ascii="仿宋_GB2312" w:hAnsi="仿宋_GB2312" w:eastAsia="仿宋_GB2312"/>
          <w:sz w:val="32"/>
        </w:rPr>
        <w:t>不断加大服务支持力度，助力森工企业转型发展。</w:t>
      </w:r>
    </w:p>
    <w:p>
      <w:pPr>
        <w:adjustRightInd w:val="0"/>
        <w:snapToGrid w:val="0"/>
        <w:spacing w:line="578" w:lineRule="exact"/>
        <w:ind w:firstLine="640" w:firstLineChars="200"/>
        <w:rPr>
          <w:rFonts w:ascii="仿宋_GB2312" w:hAnsi="仿宋_GB2312" w:eastAsia="仿宋_GB2312"/>
          <w:sz w:val="32"/>
        </w:rPr>
      </w:pPr>
    </w:p>
    <w:p>
      <w:pPr>
        <w:adjustRightInd w:val="0"/>
        <w:snapToGrid w:val="0"/>
        <w:spacing w:line="578" w:lineRule="exact"/>
        <w:ind w:firstLine="640" w:firstLineChars="200"/>
        <w:rPr>
          <w:rFonts w:ascii="仿宋_GB2312" w:hAnsi="仿宋_GB2312" w:eastAsia="仿宋_GB2312"/>
          <w:sz w:val="32"/>
        </w:rPr>
      </w:pPr>
    </w:p>
    <w:p>
      <w:pPr>
        <w:adjustRightInd w:val="0"/>
        <w:snapToGrid w:val="0"/>
        <w:spacing w:line="578" w:lineRule="exact"/>
        <w:ind w:firstLine="640" w:firstLineChars="200"/>
        <w:rPr>
          <w:rFonts w:hint="eastAsia" w:ascii="仿宋_GB2312" w:hAnsi="仿宋_GB2312" w:eastAsia="仿宋_GB2312"/>
          <w:sz w:val="32"/>
        </w:rPr>
      </w:pPr>
    </w:p>
    <w:p>
      <w:pPr>
        <w:adjustRightInd w:val="0"/>
        <w:snapToGrid w:val="0"/>
        <w:spacing w:line="578" w:lineRule="exact"/>
        <w:ind w:firstLine="4320" w:firstLineChars="1350"/>
        <w:rPr>
          <w:rFonts w:hint="eastAsia" w:ascii="仿宋_GB2312" w:hAnsi="仿宋_GB2312" w:eastAsia="仿宋_GB2312"/>
          <w:sz w:val="32"/>
        </w:rPr>
      </w:pPr>
      <w:r>
        <w:rPr>
          <w:rFonts w:hint="eastAsia" w:ascii="仿宋_GB2312" w:hAnsi="仿宋_GB2312" w:eastAsia="仿宋_GB2312"/>
          <w:sz w:val="32"/>
        </w:rPr>
        <w:t>黑龙江省林业和草原局</w:t>
      </w:r>
    </w:p>
    <w:p>
      <w:pPr>
        <w:adjustRightInd w:val="0"/>
        <w:snapToGrid w:val="0"/>
        <w:spacing w:line="578" w:lineRule="exact"/>
        <w:ind w:firstLine="4640" w:firstLineChars="1450"/>
        <w:rPr>
          <w:rFonts w:ascii="仿宋_GB2312" w:hAnsi="仿宋_GB2312" w:eastAsia="仿宋_GB2312"/>
          <w:sz w:val="32"/>
        </w:rPr>
      </w:pPr>
      <w:r>
        <w:rPr>
          <w:rFonts w:hint="eastAsia" w:ascii="仿宋_GB2312" w:hAnsi="仿宋_GB2312" w:eastAsia="仿宋_GB2312"/>
          <w:sz w:val="32"/>
        </w:rPr>
        <w:t>2021年2月20日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7D14CE"/>
    <w:rsid w:val="687D14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customStyle="1" w:styleId="4">
    <w:name w:val="NormalCharacter"/>
    <w:semiHidden/>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2022-03-22T08:20:00Z</dcterms:created>
  <dc:creator>征</dc:creator>
  <cp:lastModifiedBy>征</cp:lastModifiedBy>
  <dcterms:modified xsi:type="dcterms:W3CDTF">2022-03-22T08:21:21Z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3607AF16D359493385A75CED8552B57E</vt:lpwstr>
  </property>
</Properties>
</file>