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C1C3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488A9E">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4FA9468">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65.02.01</w:t>
            </w:r>
            <w:r>
              <w:rPr>
                <w:rFonts w:ascii="黑体" w:hAnsi="黑体" w:eastAsia="黑体"/>
                <w:sz w:val="21"/>
                <w:szCs w:val="21"/>
              </w:rPr>
              <w:fldChar w:fldCharType="end"/>
            </w:r>
            <w:bookmarkEnd w:id="0"/>
          </w:p>
        </w:tc>
      </w:tr>
      <w:tr w14:paraId="01F77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A1792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68623E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7B2196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HLJSLXH</w:t>
                  </w:r>
                  <w:r>
                    <w:fldChar w:fldCharType="end"/>
                  </w:r>
                  <w:bookmarkEnd w:id="1"/>
                </w:p>
              </w:tc>
            </w:tr>
          </w:tbl>
          <w:p w14:paraId="031CC67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14:paraId="0D3419CB">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黑龙江省林学会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2CE36FE">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C206D9B">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319B7E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B249DA">
      <w:pPr>
        <w:pStyle w:val="50"/>
        <w:framePr w:w="9639" w:h="6976" w:hRule="exact" w:hSpace="0" w:vSpace="0" w:wrap="around" w:hAnchor="page" w:y="6408"/>
        <w:jc w:val="center"/>
        <w:rPr>
          <w:rFonts w:hint="eastAsia" w:ascii="黑体" w:hAnsi="黑体" w:eastAsia="黑体"/>
          <w:b w:val="0"/>
          <w:bCs w:val="0"/>
          <w:w w:val="100"/>
        </w:rPr>
      </w:pPr>
    </w:p>
    <w:p w14:paraId="0EC81DF8">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白桦碳储量估算技术指南</w:t>
      </w:r>
      <w:r>
        <w:fldChar w:fldCharType="end"/>
      </w:r>
      <w:bookmarkEnd w:id="9"/>
    </w:p>
    <w:p w14:paraId="2E326A9E">
      <w:pPr>
        <w:framePr w:w="9639" w:h="6974" w:hRule="exact" w:wrap="around" w:vAnchor="page" w:hAnchor="page" w:x="1419" w:y="6408" w:anchorLock="1"/>
        <w:ind w:left="-1418"/>
      </w:pPr>
    </w:p>
    <w:p w14:paraId="5F30F9B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74E93599">
      <w:pPr>
        <w:framePr w:w="9639" w:h="6974" w:hRule="exact" w:wrap="around" w:vAnchor="page" w:hAnchor="page" w:x="1419" w:y="6408" w:anchorLock="1"/>
        <w:spacing w:line="760" w:lineRule="exact"/>
        <w:ind w:left="-1418"/>
      </w:pPr>
    </w:p>
    <w:p w14:paraId="31BA3767">
      <w:pPr>
        <w:pStyle w:val="125"/>
        <w:framePr w:w="9639" w:h="6974" w:hRule="exact" w:wrap="around" w:vAnchor="page" w:hAnchor="page" w:x="1419" w:y="6408" w:anchorLock="1"/>
        <w:textAlignment w:val="bottom"/>
        <w:rPr>
          <w:rFonts w:eastAsia="黑体"/>
          <w:szCs w:val="28"/>
        </w:rPr>
      </w:pPr>
    </w:p>
    <w:p w14:paraId="4FEC37F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42BFED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6DD08A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8A0BFA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9E49E1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290C17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黑龙江省林学会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65A395D">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ABDD492">
      <w:pPr>
        <w:pStyle w:val="91"/>
        <w:spacing w:after="360"/>
      </w:pPr>
      <w:bookmarkStart w:id="21" w:name="BookMark1"/>
      <w:r>
        <w:rPr>
          <w:rFonts w:hint="eastAsia"/>
          <w:spacing w:val="320"/>
        </w:rPr>
        <w:t>目</w:t>
      </w:r>
      <w:r>
        <w:rPr>
          <w:rFonts w:hint="eastAsia"/>
        </w:rPr>
        <w:t>次</w:t>
      </w:r>
    </w:p>
    <w:p w14:paraId="4EBB4BF9">
      <w:pPr>
        <w:pStyle w:val="19"/>
        <w:tabs>
          <w:tab w:val="right" w:leader="dot" w:pos="9344"/>
        </w:tabs>
        <w:rPr>
          <w:rFonts w:ascii="Times New Roman" w:hAnsi="Times New Roman" w:eastAsiaTheme="minorEastAsia"/>
          <w:sz w:val="22"/>
          <w:szCs w:val="24"/>
          <w14:ligatures w14:val="standardContextual"/>
        </w:rPr>
      </w:pPr>
      <w:r>
        <w:rPr>
          <w:rFonts w:ascii="Times New Roman" w:hAnsi="Times New Roman"/>
        </w:rPr>
        <w:fldChar w:fldCharType="begin"/>
      </w:r>
      <w:r>
        <w:rPr>
          <w:rFonts w:ascii="Times New Roman" w:hAnsi="Times New Roman"/>
        </w:rPr>
        <w:instrText xml:space="preserve"> TOC \o "1-1" \h \t "标准文件_一级条标题,2,标准文件_二级条标题,3,标准文件_附录一级条标题,2,标准文件_附录二级条标题,3," </w:instrText>
      </w:r>
      <w:r>
        <w:rPr>
          <w:rFonts w:ascii="Times New Roman" w:hAnsi="Times New Roman"/>
        </w:rPr>
        <w:fldChar w:fldCharType="separate"/>
      </w:r>
      <w:r>
        <w:fldChar w:fldCharType="begin"/>
      </w:r>
      <w:r>
        <w:instrText xml:space="preserve"> HYPERLINK \l "_Toc236295458" </w:instrText>
      </w:r>
      <w:r>
        <w:fldChar w:fldCharType="separate"/>
      </w:r>
      <w:r>
        <w:rPr>
          <w:rStyle w:val="32"/>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_Toc236295458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14:paraId="025E6268">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"_Toc236295459" </w:instrText>
      </w:r>
      <w:r>
        <w:fldChar w:fldCharType="separate"/>
      </w:r>
      <w:r>
        <w:rPr>
          <w:rStyle w:val="32"/>
          <w:rFonts w:ascii="Times New Roman"/>
        </w:rPr>
        <w:t>1  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_Toc236295459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9F1E62D">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"_Toc236295460" </w:instrText>
      </w:r>
      <w:r>
        <w:fldChar w:fldCharType="separate"/>
      </w:r>
      <w:r>
        <w:rPr>
          <w:rStyle w:val="32"/>
          <w:rFonts w:ascii="Times New Roman"/>
        </w:rPr>
        <w:t>2  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_Toc236295460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5018479B">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"_Toc236295461" </w:instrText>
      </w:r>
      <w:r>
        <w:fldChar w:fldCharType="separate"/>
      </w:r>
      <w:r>
        <w:rPr>
          <w:rStyle w:val="32"/>
          <w:rFonts w:ascii="Times New Roman"/>
        </w:rPr>
        <w:t>3  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4E7FEE6F">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"_Toc236295462" </w:instrText>
      </w:r>
      <w:r>
        <w:fldChar w:fldCharType="separate"/>
      </w:r>
      <w:r>
        <w:rPr>
          <w:rStyle w:val="32"/>
          <w:rFonts w:ascii="Times New Roman"/>
        </w:rPr>
        <w:t>4  调查取样与测定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1CEAEC19">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"_Toc236295463" </w:instrText>
      </w:r>
      <w:r>
        <w:fldChar w:fldCharType="separate"/>
      </w:r>
      <w:r>
        <w:rPr>
          <w:rStyle w:val="32"/>
          <w:rFonts w:ascii="Times New Roman"/>
        </w:rPr>
        <w:t>5  立木含碳量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_Toc236295463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B703167">
      <w:pPr>
        <w:pStyle w:val="24"/>
        <w:rPr>
          <w:rFonts w:ascii="Times New Roman" w:hAnsi="Times New Roman" w:eastAsiaTheme="minorEastAsia"/>
          <w:sz w:val="22"/>
          <w:szCs w:val="24"/>
          <w14:ligatures w14:val="standardContextual"/>
        </w:rPr>
      </w:pPr>
      <w:r>
        <w:fldChar w:fldCharType="begin"/>
      </w:r>
      <w:r>
        <w:instrText xml:space="preserve"> HYPERLINK \l "_Toc236295464" </w:instrText>
      </w:r>
      <w:r>
        <w:fldChar w:fldCharType="separate"/>
      </w:r>
      <w:r>
        <w:rPr>
          <w:rStyle w:val="32"/>
          <w:rFonts w:ascii="Times New Roman"/>
          <w14:scene3d w14:prst="orthographicFront">
            <w14:lightRig w14:rig="threePt" w14:dir="t">
              <w14:rot w14:lat="0" w14:lon="0" w14:rev="0"/>
            </w14:lightRig>
          </w14:scene3d>
        </w:rPr>
        <w:t xml:space="preserve">5.1 </w:t>
      </w:r>
      <w:r>
        <w:rPr>
          <w:rStyle w:val="32"/>
          <w:rFonts w:ascii="Times New Roman"/>
        </w:rPr>
        <w:t xml:space="preserve"> 立木生物量计算方法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1A2430B6">
      <w:pPr>
        <w:pStyle w:val="24"/>
        <w:rPr>
          <w:rFonts w:ascii="Times New Roman" w:hAnsi="Times New Roman" w:eastAsiaTheme="minorEastAsia"/>
          <w:sz w:val="22"/>
          <w:szCs w:val="24"/>
          <w14:ligatures w14:val="standardContextual"/>
        </w:rPr>
      </w:pPr>
      <w:r>
        <w:fldChar w:fldCharType="begin"/>
      </w:r>
      <w:r>
        <w:instrText xml:space="preserve"> HYPERLINK \l "_Toc236295465" </w:instrText>
      </w:r>
      <w:r>
        <w:fldChar w:fldCharType="separate"/>
      </w:r>
      <w:r>
        <w:rPr>
          <w:rStyle w:val="32"/>
          <w:rFonts w:ascii="Times New Roman"/>
          <w14:scene3d w14:prst="orthographicFront">
            <w14:lightRig w14:rig="threePt" w14:dir="t">
              <w14:rot w14:lat="0" w14:lon="0" w14:rev="0"/>
            </w14:lightRig>
          </w14:scene3d>
        </w:rPr>
        <w:t xml:space="preserve">5.2 </w:t>
      </w:r>
      <w:r>
        <w:rPr>
          <w:rStyle w:val="32"/>
          <w:rFonts w:ascii="Times New Roman"/>
        </w:rPr>
        <w:t xml:space="preserve"> 立木含碳量计算方法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96D65FE">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"_Toc236295466" </w:instrText>
      </w:r>
      <w:r>
        <w:fldChar w:fldCharType="separate"/>
      </w:r>
      <w:r>
        <w:rPr>
          <w:rStyle w:val="32"/>
          <w:rFonts w:ascii="Times New Roman"/>
        </w:rPr>
        <w:t>6  林分碳储量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_Toc236295466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74EEC418">
      <w:pPr>
        <w:pStyle w:val="24"/>
        <w:rPr>
          <w:rFonts w:ascii="Times New Roman" w:hAnsi="Times New Roman" w:eastAsiaTheme="minorEastAsia"/>
          <w:sz w:val="22"/>
          <w:szCs w:val="24"/>
          <w14:ligatures w14:val="standardContextual"/>
        </w:rPr>
      </w:pPr>
      <w:r>
        <w:fldChar w:fldCharType="begin"/>
      </w:r>
      <w:r>
        <w:instrText xml:space="preserve"> HYPERLINK \l "_Toc236295467" </w:instrText>
      </w:r>
      <w:r>
        <w:fldChar w:fldCharType="separate"/>
      </w:r>
      <w:r>
        <w:rPr>
          <w:rStyle w:val="32"/>
          <w:rFonts w:ascii="Times New Roman"/>
          <w14:scene3d w14:prst="orthographicFront">
            <w14:lightRig w14:rig="threePt" w14:dir="t">
              <w14:rot w14:lat="0" w14:lon="0" w14:rev="0"/>
            </w14:lightRig>
          </w14:scene3d>
        </w:rPr>
        <w:t xml:space="preserve">6.1 </w:t>
      </w:r>
      <w:r>
        <w:rPr>
          <w:rStyle w:val="32"/>
          <w:rFonts w:ascii="Times New Roman"/>
        </w:rPr>
        <w:t xml:space="preserve"> 林分碳密度计算方法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_Toc236295467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06E5D29F">
      <w:pPr>
        <w:pStyle w:val="15"/>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"_Toc236295468" </w:instrText>
      </w:r>
      <w:r>
        <w:fldChar w:fldCharType="separate"/>
      </w:r>
      <w:r>
        <w:rPr>
          <w:rStyle w:val="32"/>
          <w:rFonts w:ascii="Times New Roman"/>
        </w:rPr>
        <w:t>6.1.1  基于标准地的碳密度计算方法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_Toc236295468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39CDC1A7">
      <w:pPr>
        <w:pStyle w:val="15"/>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"_Toc236295469" </w:instrText>
      </w:r>
      <w:r>
        <w:fldChar w:fldCharType="separate"/>
      </w:r>
      <w:r>
        <w:rPr>
          <w:rStyle w:val="32"/>
          <w:rFonts w:ascii="Times New Roman"/>
        </w:rPr>
        <w:t>6.1.2  基于林分断面积和平均高的碳密度计算方法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_Toc236295469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258AFDBC">
      <w:pPr>
        <w:pStyle w:val="24"/>
        <w:rPr>
          <w:rFonts w:ascii="Times New Roman" w:hAnsi="Times New Roman" w:eastAsiaTheme="minorEastAsia"/>
          <w:sz w:val="22"/>
          <w:szCs w:val="24"/>
          <w14:ligatures w14:val="standardContextual"/>
        </w:rPr>
      </w:pPr>
      <w:r>
        <w:fldChar w:fldCharType="begin"/>
      </w:r>
      <w:r>
        <w:instrText xml:space="preserve"> HYPERLINK \l "_Toc236295470" </w:instrText>
      </w:r>
      <w:r>
        <w:fldChar w:fldCharType="separate"/>
      </w:r>
      <w:r>
        <w:rPr>
          <w:rStyle w:val="32"/>
          <w:rFonts w:ascii="Times New Roman"/>
          <w14:scene3d w14:prst="orthographicFront">
            <w14:lightRig w14:rig="threePt" w14:dir="t">
              <w14:rot w14:lat="0" w14:lon="0" w14:rev="0"/>
            </w14:lightRig>
          </w14:scene3d>
        </w:rPr>
        <w:t xml:space="preserve">6.2 </w:t>
      </w:r>
      <w:r>
        <w:rPr>
          <w:rStyle w:val="32"/>
          <w:rFonts w:ascii="Times New Roman"/>
        </w:rPr>
        <w:t xml:space="preserve"> 林分碳储量估算方法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_Toc236295470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6034D582">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"_Toc236295471" </w:instrText>
      </w:r>
      <w:r>
        <w:fldChar w:fldCharType="separate"/>
      </w:r>
      <w:r>
        <w:rPr>
          <w:rStyle w:val="32"/>
          <w:rFonts w:ascii="Times New Roman"/>
        </w:rPr>
        <w:t>7  应用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_Toc236295471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65EFCF9D">
      <w:pPr>
        <w:pStyle w:val="19"/>
        <w:tabs>
          <w:tab w:val="right" w:leader="dot" w:pos="9344"/>
        </w:tabs>
        <w:rPr>
          <w:rFonts w:ascii="Times New Roman" w:hAnsi="Times New Roman" w:eastAsiaTheme="minorEastAsia"/>
          <w:sz w:val="22"/>
          <w:szCs w:val="24"/>
          <w14:ligatures w14:val="standardContextual"/>
        </w:rPr>
      </w:pPr>
      <w:r>
        <w:fldChar w:fldCharType="begin"/>
      </w:r>
      <w:r>
        <w:instrText xml:space="preserve"> HYPERLINK \l "_Toc236295472" </w:instrText>
      </w:r>
      <w:r>
        <w:fldChar w:fldCharType="separate"/>
      </w:r>
      <w:r>
        <w:rPr>
          <w:rStyle w:val="32"/>
          <w:rFonts w:ascii="Times New Roman"/>
        </w:rPr>
        <w:t>8  技术档案</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_Toc236295472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1D935098">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rPr>
          <w:rFonts w:ascii="Times New Roman" w:hAnsi="Times New Roman"/>
        </w:rPr>
        <w:fldChar w:fldCharType="end"/>
      </w:r>
    </w:p>
    <w:bookmarkEnd w:id="21"/>
    <w:p w14:paraId="51F3FF89">
      <w:pPr>
        <w:pStyle w:val="89"/>
        <w:spacing w:before="560" w:after="360"/>
      </w:pPr>
      <w:bookmarkStart w:id="22" w:name="_Toc236295458"/>
      <w:bookmarkStart w:id="23" w:name="BookMark2"/>
      <w:r>
        <w:rPr>
          <w:rFonts w:hint="eastAsia"/>
          <w:spacing w:val="320"/>
        </w:rPr>
        <w:t>前</w:t>
      </w:r>
      <w:r>
        <w:rPr>
          <w:rFonts w:hint="eastAsia"/>
        </w:rPr>
        <w:t>言</w:t>
      </w:r>
      <w:bookmarkEnd w:id="22"/>
    </w:p>
    <w:p w14:paraId="01EA57F8">
      <w:pPr>
        <w:pStyle w:val="56"/>
        <w:ind w:firstLine="420"/>
      </w:pPr>
      <w:r>
        <w:rPr>
          <w:rFonts w:hint="eastAsia"/>
        </w:rPr>
        <w:t>本文件按照GB/T 1.1—2020《标准化工作导则  第1部分：标准化文件的结构和起草规则》的规定起草。</w:t>
      </w:r>
    </w:p>
    <w:p w14:paraId="4FB485CC">
      <w:pPr>
        <w:pStyle w:val="56"/>
        <w:ind w:firstLine="420"/>
      </w:pPr>
      <w:r>
        <w:rPr>
          <w:rFonts w:hint="eastAsia"/>
        </w:rPr>
        <w:t>请注意本文件的某些内容可能涉及专利。本文件的发布机构不承担识别专利的责任。</w:t>
      </w:r>
    </w:p>
    <w:p w14:paraId="7DEE7D4A">
      <w:pPr>
        <w:pStyle w:val="56"/>
        <w:ind w:firstLine="420"/>
      </w:pPr>
      <w:r>
        <w:rPr>
          <w:rFonts w:hint="eastAsia"/>
        </w:rPr>
        <w:t>本文件由黑龙江省林学会提出并归口。</w:t>
      </w:r>
    </w:p>
    <w:p w14:paraId="3D110EBD">
      <w:pPr>
        <w:pStyle w:val="56"/>
        <w:ind w:firstLine="420"/>
      </w:pPr>
      <w:r>
        <w:rPr>
          <w:rFonts w:hint="eastAsia"/>
        </w:rPr>
        <w:t>本文件起草单位：黑龙江省生态研究所、东北农业大学、黑龙江省交通投资集团有限公司哈绥运营分公司、黑龙江省林业技术服务中心、尚志国有林场管理局老街基林场。</w:t>
      </w:r>
    </w:p>
    <w:p w14:paraId="0824AFBC">
      <w:pPr>
        <w:pStyle w:val="56"/>
        <w:ind w:firstLine="420"/>
      </w:pPr>
      <w:r>
        <w:rPr>
          <w:rFonts w:hint="eastAsia"/>
        </w:rPr>
        <w:t>本文件主要起草人：沃晓棠、耿美云、韩丽冬、杨明凯、马珂馨、白雅溶、李麒、关宇琪、闫思宇、张頔、黄清文、翟洪忠、王思潼、翟洪丽、肖宇飞。</w:t>
      </w:r>
    </w:p>
    <w:p w14:paraId="153978AE">
      <w:pPr>
        <w:pStyle w:val="56"/>
        <w:ind w:firstLine="420"/>
      </w:pPr>
    </w:p>
    <w:p w14:paraId="2B4E1005">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6E575D6E">
      <w:pPr>
        <w:spacing w:line="20" w:lineRule="exact"/>
        <w:jc w:val="center"/>
        <w:rPr>
          <w:rFonts w:hint="eastAsia" w:ascii="黑体" w:hAnsi="黑体" w:eastAsia="黑体"/>
          <w:sz w:val="32"/>
          <w:szCs w:val="32"/>
        </w:rPr>
      </w:pPr>
      <w:bookmarkStart w:id="24" w:name="BookMark4"/>
    </w:p>
    <w:p w14:paraId="28A82B17">
      <w:pPr>
        <w:spacing w:line="20" w:lineRule="exact"/>
        <w:jc w:val="center"/>
        <w:rPr>
          <w:rFonts w:hint="eastAsia" w:ascii="黑体" w:hAnsi="黑体" w:eastAsia="黑体"/>
          <w:sz w:val="32"/>
          <w:szCs w:val="32"/>
        </w:rPr>
      </w:pPr>
    </w:p>
    <w:sdt>
      <w:sdtPr>
        <w:tag w:val="NEW_STAND_NAME"/>
        <w:id w:val="595910757"/>
        <w:lock w:val="sdtLocked"/>
        <w:placeholder>
          <w:docPart w:val="128412955DFC446C81036B379B346237"/>
        </w:placeholder>
      </w:sdtPr>
      <w:sdtContent>
        <w:p w14:paraId="5689DB02">
          <w:pPr>
            <w:pStyle w:val="177"/>
            <w:spacing w:before="240" w:beforeLines="100" w:after="528" w:afterLines="220"/>
            <w:rPr>
              <w:rFonts w:hint="eastAsia"/>
            </w:rPr>
          </w:pPr>
          <w:bookmarkStart w:id="25" w:name="NEW_STAND_NAME"/>
          <w:r>
            <w:rPr>
              <w:rFonts w:hint="eastAsia"/>
            </w:rPr>
            <w:t>白桦碳储量估算技术指南</w:t>
          </w:r>
        </w:p>
      </w:sdtContent>
    </w:sdt>
    <w:bookmarkEnd w:id="25"/>
    <w:p w14:paraId="01A3CAC6">
      <w:pPr>
        <w:pStyle w:val="104"/>
        <w:spacing w:before="240" w:after="240"/>
      </w:pPr>
      <w:bookmarkStart w:id="26" w:name="_Toc24884218"/>
      <w:bookmarkStart w:id="27" w:name="_Toc97192964"/>
      <w:bookmarkStart w:id="28" w:name="_Toc24884211"/>
      <w:bookmarkStart w:id="29" w:name="_Toc26648465"/>
      <w:bookmarkStart w:id="30" w:name="_Toc17233325"/>
      <w:bookmarkStart w:id="31" w:name="_Toc26986530"/>
      <w:bookmarkStart w:id="32" w:name="_Toc17233333"/>
      <w:bookmarkStart w:id="33" w:name="_Toc236295459"/>
      <w:bookmarkStart w:id="34" w:name="_Toc26986771"/>
      <w:bookmarkStart w:id="35" w:name="_Toc26718930"/>
      <w:r>
        <w:rPr>
          <w:rFonts w:hint="eastAsia"/>
        </w:rPr>
        <w:t>范围</w:t>
      </w:r>
      <w:bookmarkEnd w:id="26"/>
      <w:bookmarkEnd w:id="27"/>
      <w:bookmarkEnd w:id="28"/>
      <w:bookmarkEnd w:id="29"/>
      <w:bookmarkEnd w:id="30"/>
      <w:bookmarkEnd w:id="31"/>
      <w:bookmarkEnd w:id="32"/>
      <w:bookmarkEnd w:id="33"/>
      <w:bookmarkEnd w:id="34"/>
      <w:bookmarkEnd w:id="35"/>
    </w:p>
    <w:p w14:paraId="109BA028">
      <w:pPr>
        <w:pStyle w:val="56"/>
        <w:ind w:firstLine="420"/>
      </w:pPr>
      <w:bookmarkStart w:id="36" w:name="_Toc17233334"/>
      <w:bookmarkStart w:id="37" w:name="_Toc24884212"/>
      <w:bookmarkStart w:id="38" w:name="_Toc24884219"/>
      <w:bookmarkStart w:id="39" w:name="_Toc26648466"/>
      <w:bookmarkStart w:id="40" w:name="_Toc17233326"/>
      <w:r>
        <w:rPr>
          <w:rFonts w:hint="eastAsia"/>
        </w:rPr>
        <w:t>本文件规定了白桦碳储量估算技术指南的调查取样与测定、立木含碳量、林分碳储量估算方法和技术档案等内容。</w:t>
      </w:r>
    </w:p>
    <w:p w14:paraId="03A6C8C1">
      <w:pPr>
        <w:pStyle w:val="56"/>
        <w:ind w:firstLine="420"/>
      </w:pPr>
      <w:r>
        <w:rPr>
          <w:rFonts w:hint="eastAsia"/>
        </w:rPr>
        <w:t>本文件适用于白桦立木及林分生物量和碳储量的估算。</w:t>
      </w:r>
    </w:p>
    <w:p w14:paraId="307037C8">
      <w:pPr>
        <w:pStyle w:val="104"/>
        <w:spacing w:before="240" w:after="240"/>
      </w:pPr>
      <w:bookmarkStart w:id="41" w:name="_Toc26718931"/>
      <w:bookmarkStart w:id="42" w:name="_Toc26986531"/>
      <w:bookmarkStart w:id="43" w:name="_Toc236295460"/>
      <w:bookmarkStart w:id="44" w:name="_Toc97192965"/>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F780555DE2B24FE6914DD84B1E3243A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C18C44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3004A5">
      <w:pPr>
        <w:pStyle w:val="56"/>
        <w:ind w:firstLine="420"/>
        <w:rPr>
          <w:rFonts w:ascii="Times New Roman"/>
        </w:rPr>
      </w:pPr>
      <w:r>
        <w:rPr>
          <w:rFonts w:ascii="Times New Roman"/>
        </w:rPr>
        <w:t>T/HLJSLXH 072—2025 林草生态系统碳库建模调查技术规范</w:t>
      </w:r>
    </w:p>
    <w:p w14:paraId="762F0C59">
      <w:pPr>
        <w:pStyle w:val="104"/>
        <w:spacing w:before="240" w:after="240"/>
      </w:pPr>
      <w:bookmarkStart w:id="46" w:name="_Toc97192966"/>
      <w:bookmarkStart w:id="47" w:name="_Toc236295461"/>
      <w:r>
        <w:rPr>
          <w:rFonts w:hint="eastAsia"/>
          <w:szCs w:val="21"/>
        </w:rPr>
        <w:t>术语和定义</w:t>
      </w:r>
      <w:bookmarkEnd w:id="46"/>
      <w:bookmarkEnd w:id="47"/>
    </w:p>
    <w:sdt>
      <w:sdtPr>
        <w:id w:val="-1909835108"/>
        <w:placeholder>
          <w:docPart w:val="6556757F5A4344EBABD3B993EA319DE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F9AD71">
          <w:pPr>
            <w:pStyle w:val="56"/>
            <w:ind w:firstLine="420"/>
          </w:pPr>
          <w:bookmarkStart w:id="48" w:name="_Toc26986532"/>
          <w:bookmarkEnd w:id="48"/>
          <w:r>
            <w:t>本文件没有需要界定的术语和定义。</w:t>
          </w:r>
        </w:p>
      </w:sdtContent>
    </w:sdt>
    <w:p w14:paraId="567F8C4F">
      <w:pPr>
        <w:pStyle w:val="104"/>
        <w:spacing w:before="240" w:after="240"/>
      </w:pPr>
      <w:bookmarkStart w:id="49" w:name="_Toc236295462"/>
      <w:r>
        <w:rPr>
          <w:rFonts w:hint="eastAsia"/>
        </w:rPr>
        <w:t>调查取样与测定</w:t>
      </w:r>
      <w:bookmarkEnd w:id="49"/>
    </w:p>
    <w:p w14:paraId="76369EBE">
      <w:pPr>
        <w:pStyle w:val="56"/>
        <w:ind w:firstLine="420"/>
      </w:pPr>
      <w:r>
        <w:rPr>
          <w:rFonts w:hint="eastAsia"/>
        </w:rPr>
        <w:t>通过设置标准地，并对标准地内白桦立木进行每木检尺，具体样地设置、乔木调查与测量按照 T/HLJSLXH 072—2025 执行。</w:t>
      </w:r>
    </w:p>
    <w:p w14:paraId="7B699132">
      <w:pPr>
        <w:pStyle w:val="104"/>
        <w:spacing w:before="240" w:after="240"/>
      </w:pPr>
      <w:bookmarkStart w:id="50" w:name="_Toc236295463"/>
      <w:r>
        <w:rPr>
          <w:rFonts w:hint="eastAsia"/>
        </w:rPr>
        <w:t>立木含碳量</w:t>
      </w:r>
      <w:bookmarkEnd w:id="50"/>
    </w:p>
    <w:p w14:paraId="5E82C75A">
      <w:pPr>
        <w:pStyle w:val="105"/>
        <w:spacing w:before="120" w:after="120"/>
      </w:pPr>
      <w:bookmarkStart w:id="51" w:name="_Toc236295464"/>
      <w:r>
        <w:rPr>
          <w:rFonts w:hint="eastAsia"/>
        </w:rPr>
        <w:t>立木生物量计算方法</w:t>
      </w:r>
      <w:bookmarkEnd w:id="51"/>
    </w:p>
    <w:p w14:paraId="35953849">
      <w:pPr>
        <w:pStyle w:val="56"/>
        <w:ind w:firstLine="420"/>
      </w:pPr>
      <w:r>
        <w:rPr>
          <w:rFonts w:hint="eastAsia"/>
        </w:rPr>
        <w:t>通过每木检尺测定白桦胸径，结合生物量模型计算白桦树干、树枝、树叶、树根生物量，计算公式如下：</w:t>
      </w:r>
    </w:p>
    <w:p w14:paraId="389D0F1A">
      <w:pPr>
        <w:pStyle w:val="56"/>
        <w:ind w:firstLine="420"/>
        <w:jc w:val="center"/>
      </w:pPr>
      <w:r>
        <w:rPr>
          <w:position w:val="-23"/>
        </w:rPr>
        <w:drawing>
          <wp:inline distT="0" distB="0" distL="0" distR="0">
            <wp:extent cx="4704080" cy="740410"/>
            <wp:effectExtent l="0" t="0" r="1270" b="254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4704080" cy="741012"/>
                    </a:xfrm>
                    <a:prstGeom prst="rect">
                      <a:avLst/>
                    </a:prstGeom>
                  </pic:spPr>
                </pic:pic>
              </a:graphicData>
            </a:graphic>
          </wp:inline>
        </w:drawing>
      </w:r>
    </w:p>
    <w:p w14:paraId="05862536">
      <w:pPr>
        <w:pStyle w:val="56"/>
        <w:keepNext w:val="0"/>
        <w:keepLines w:val="0"/>
        <w:pageBreakBefore w:val="0"/>
        <w:kinsoku/>
        <w:wordWrap/>
        <w:overflowPunct/>
        <w:topLinePunct w:val="0"/>
        <w:bidi w:val="0"/>
        <w:snapToGrid/>
        <w:spacing w:line="240" w:lineRule="auto"/>
        <w:ind w:firstLine="420"/>
        <w:textAlignment w:val="auto"/>
      </w:pPr>
      <w:r>
        <w:rPr>
          <w:rFonts w:hint="eastAsia"/>
        </w:rPr>
        <w:t>式中：</w:t>
      </w:r>
    </w:p>
    <w:p w14:paraId="064E434A">
      <w:pPr>
        <w:pStyle w:val="56"/>
        <w:keepNext w:val="0"/>
        <w:keepLines w:val="0"/>
        <w:pageBreakBefore w:val="0"/>
        <w:kinsoku/>
        <w:wordWrap/>
        <w:overflowPunct/>
        <w:topLinePunct w:val="0"/>
        <w:bidi w:val="0"/>
        <w:snapToGrid/>
        <w:spacing w:line="240" w:lineRule="auto"/>
        <w:ind w:firstLine="420"/>
        <w:textAlignment w:val="auto"/>
        <w:rPr>
          <w:rFonts w:hint="default" w:ascii="Times New Roman" w:hAnsi="Times New Roman" w:cs="Times New Roman"/>
        </w:rPr>
      </w:pPr>
      <w:r>
        <w:rPr>
          <w:rFonts w:hint="default" w:ascii="Times New Roman" w:hAnsi="Times New Roman" w:eastAsia="Times New Roman" w:cs="Times New Roman"/>
          <w:i/>
          <w:iCs/>
          <w:szCs w:val="21"/>
        </w:rPr>
        <w:t>W</w:t>
      </w:r>
      <w:r>
        <w:rPr>
          <w:rFonts w:hint="default" w:ascii="Times New Roman" w:hAnsi="Times New Roman" w:eastAsia="Times New Roman" w:cs="Times New Roman"/>
          <w:position w:val="-1"/>
          <w:szCs w:val="21"/>
          <w:vertAlign w:val="subscript"/>
        </w:rPr>
        <w:t>S</w:t>
      </w:r>
      <w:r>
        <w:rPr>
          <w:rFonts w:hint="default" w:ascii="Times New Roman" w:hAnsi="Times New Roman" w:eastAsia="Times New Roman" w:cs="Times New Roman"/>
          <w:spacing w:val="-8"/>
          <w:position w:val="-1"/>
          <w:szCs w:val="21"/>
        </w:rPr>
        <w:t xml:space="preserve"> </w:t>
      </w:r>
      <w:r>
        <w:rPr>
          <w:rFonts w:hint="default" w:ascii="Times New Roman" w:hAnsi="Times New Roman" w:cs="Times New Roman"/>
          <w:spacing w:val="8"/>
          <w:szCs w:val="21"/>
        </w:rPr>
        <w:t>、</w:t>
      </w:r>
      <w:r>
        <w:rPr>
          <w:rFonts w:hint="default" w:ascii="Times New Roman" w:hAnsi="Times New Roman" w:eastAsia="Times New Roman" w:cs="Times New Roman"/>
          <w:i/>
          <w:iCs/>
          <w:szCs w:val="21"/>
        </w:rPr>
        <w:t>W</w:t>
      </w:r>
      <w:r>
        <w:rPr>
          <w:rFonts w:hint="default" w:ascii="Times New Roman" w:hAnsi="Times New Roman" w:eastAsia="Times New Roman" w:cs="Times New Roman"/>
          <w:position w:val="-1"/>
          <w:szCs w:val="21"/>
          <w:vertAlign w:val="subscript"/>
        </w:rPr>
        <w:t>b</w:t>
      </w:r>
      <w:r>
        <w:rPr>
          <w:rFonts w:hint="default" w:ascii="Times New Roman" w:hAnsi="Times New Roman" w:eastAsia="Times New Roman" w:cs="Times New Roman"/>
          <w:spacing w:val="-8"/>
          <w:position w:val="-1"/>
          <w:szCs w:val="21"/>
        </w:rPr>
        <w:t xml:space="preserve"> </w:t>
      </w:r>
      <w:r>
        <w:rPr>
          <w:rFonts w:hint="default" w:ascii="Times New Roman" w:hAnsi="Times New Roman" w:cs="Times New Roman"/>
          <w:spacing w:val="8"/>
          <w:szCs w:val="21"/>
        </w:rPr>
        <w:t>、</w:t>
      </w:r>
      <w:r>
        <w:rPr>
          <w:rFonts w:hint="default" w:ascii="Times New Roman" w:hAnsi="Times New Roman" w:eastAsia="Times New Roman" w:cs="Times New Roman"/>
          <w:i/>
          <w:iCs/>
          <w:szCs w:val="21"/>
        </w:rPr>
        <w:t>W</w:t>
      </w:r>
      <w:r>
        <w:rPr>
          <w:rFonts w:hint="default" w:ascii="Times New Roman" w:hAnsi="Times New Roman" w:eastAsia="Times New Roman" w:cs="Times New Roman"/>
          <w:position w:val="-1"/>
          <w:szCs w:val="21"/>
          <w:vertAlign w:val="subscript"/>
        </w:rPr>
        <w:t>l</w:t>
      </w:r>
      <w:r>
        <w:rPr>
          <w:rFonts w:hint="default" w:ascii="Times New Roman" w:hAnsi="Times New Roman" w:eastAsia="Times New Roman" w:cs="Times New Roman"/>
          <w:spacing w:val="-10"/>
          <w:position w:val="-1"/>
          <w:szCs w:val="21"/>
        </w:rPr>
        <w:t xml:space="preserve"> </w:t>
      </w:r>
      <w:r>
        <w:rPr>
          <w:rFonts w:hint="default" w:ascii="Times New Roman" w:hAnsi="Times New Roman" w:cs="Times New Roman"/>
          <w:spacing w:val="8"/>
          <w:szCs w:val="21"/>
        </w:rPr>
        <w:t>、</w:t>
      </w:r>
      <w:r>
        <w:rPr>
          <w:rFonts w:hint="default" w:ascii="Times New Roman" w:hAnsi="Times New Roman" w:eastAsia="Times New Roman" w:cs="Times New Roman"/>
          <w:i/>
          <w:iCs/>
          <w:szCs w:val="21"/>
        </w:rPr>
        <w:t>W</w:t>
      </w:r>
      <w:r>
        <w:rPr>
          <w:rFonts w:hint="default" w:ascii="Times New Roman" w:hAnsi="Times New Roman" w:eastAsia="Times New Roman" w:cs="Times New Roman"/>
          <w:position w:val="-1"/>
          <w:szCs w:val="21"/>
          <w:vertAlign w:val="subscript"/>
        </w:rPr>
        <w:t>r</w:t>
      </w:r>
      <w:r>
        <w:rPr>
          <w:rFonts w:hint="default" w:ascii="Times New Roman" w:hAnsi="Times New Roman" w:cs="Times New Roman"/>
        </w:rPr>
        <w:t>——分别为树干、树枝、树叶、树根的生物量估计值，单位为千克（kg）；</w:t>
      </w:r>
    </w:p>
    <w:p w14:paraId="037829FB">
      <w:pPr>
        <w:pStyle w:val="56"/>
        <w:keepNext w:val="0"/>
        <w:keepLines w:val="0"/>
        <w:pageBreakBefore w:val="0"/>
        <w:kinsoku/>
        <w:wordWrap/>
        <w:overflowPunct/>
        <w:topLinePunct w:val="0"/>
        <w:bidi w:val="0"/>
        <w:snapToGrid/>
        <w:spacing w:line="240" w:lineRule="auto"/>
        <w:ind w:firstLine="420"/>
        <w:textAlignment w:val="auto"/>
        <w:rPr>
          <w:rFonts w:hint="default" w:ascii="Times New Roman" w:hAnsi="Times New Roman" w:cs="Times New Roman"/>
        </w:rPr>
      </w:pPr>
      <w:r>
        <w:rPr>
          <w:rFonts w:hint="default" w:ascii="Times New Roman" w:hAnsi="Times New Roman" w:cs="Times New Roman"/>
          <w:i/>
          <w:iCs/>
        </w:rPr>
        <w:t>D</w:t>
      </w:r>
      <w:r>
        <w:rPr>
          <w:rFonts w:hint="default" w:ascii="Times New Roman" w:hAnsi="Times New Roman" w:cs="Times New Roman"/>
        </w:rPr>
        <w:t>——立木胸径，单位为厘米（cm）；</w:t>
      </w:r>
    </w:p>
    <w:p w14:paraId="2874DC61">
      <w:pPr>
        <w:pStyle w:val="56"/>
        <w:keepNext w:val="0"/>
        <w:keepLines w:val="0"/>
        <w:pageBreakBefore w:val="0"/>
        <w:kinsoku/>
        <w:wordWrap/>
        <w:overflowPunct/>
        <w:topLinePunct w:val="0"/>
        <w:bidi w:val="0"/>
        <w:snapToGrid/>
        <w:spacing w:line="240" w:lineRule="auto"/>
        <w:ind w:firstLine="424"/>
        <w:textAlignment w:val="auto"/>
      </w:pPr>
      <w:r>
        <w:rPr>
          <w:rFonts w:hint="default" w:ascii="Times New Roman" w:hAnsi="Times New Roman" w:eastAsia="Times New Roman" w:cs="Times New Roman"/>
          <w:i/>
          <w:iCs/>
          <w:spacing w:val="1"/>
          <w:szCs w:val="21"/>
        </w:rPr>
        <w:t>c</w:t>
      </w:r>
      <w:r>
        <w:rPr>
          <w:rFonts w:hint="default" w:ascii="Times New Roman" w:hAnsi="Times New Roman" w:eastAsia="Times New Roman" w:cs="Times New Roman"/>
          <w:position w:val="-1"/>
          <w:szCs w:val="21"/>
          <w:vertAlign w:val="subscript"/>
        </w:rPr>
        <w:t>0</w:t>
      </w:r>
      <w:r>
        <w:rPr>
          <w:rFonts w:hint="default" w:ascii="Times New Roman" w:hAnsi="Times New Roman" w:eastAsia="Times New Roman" w:cs="Times New Roman"/>
          <w:spacing w:val="-11"/>
          <w:szCs w:val="21"/>
        </w:rPr>
        <w:t xml:space="preserve"> </w:t>
      </w:r>
      <w:r>
        <w:rPr>
          <w:rFonts w:hint="default" w:ascii="Times New Roman" w:hAnsi="Times New Roman" w:cs="Times New Roman"/>
          <w:spacing w:val="1"/>
          <w:szCs w:val="21"/>
        </w:rPr>
        <w:t>、</w:t>
      </w:r>
      <w:r>
        <w:rPr>
          <w:rFonts w:hint="default" w:ascii="Times New Roman" w:hAnsi="Times New Roman" w:eastAsia="Times New Roman" w:cs="Times New Roman"/>
          <w:i/>
          <w:iCs/>
          <w:spacing w:val="1"/>
          <w:szCs w:val="21"/>
        </w:rPr>
        <w:t>b</w:t>
      </w:r>
      <w:r>
        <w:rPr>
          <w:rFonts w:hint="default" w:ascii="Times New Roman" w:hAnsi="Times New Roman" w:eastAsia="Times New Roman" w:cs="Times New Roman"/>
          <w:position w:val="-1"/>
          <w:szCs w:val="21"/>
          <w:vertAlign w:val="subscript"/>
        </w:rPr>
        <w:t>0</w:t>
      </w:r>
      <w:r>
        <w:rPr>
          <w:rFonts w:hint="default" w:ascii="Times New Roman" w:hAnsi="Times New Roman" w:eastAsia="Times New Roman" w:cs="Times New Roman"/>
          <w:spacing w:val="-11"/>
          <w:position w:val="-1"/>
          <w:szCs w:val="21"/>
        </w:rPr>
        <w:t xml:space="preserve"> </w:t>
      </w:r>
      <w:r>
        <w:rPr>
          <w:rFonts w:hint="default" w:ascii="Times New Roman" w:hAnsi="Times New Roman" w:cs="Times New Roman"/>
          <w:spacing w:val="1"/>
          <w:szCs w:val="21"/>
        </w:rPr>
        <w:t>、</w:t>
      </w:r>
      <w:r>
        <w:rPr>
          <w:rFonts w:hint="default" w:ascii="Times New Roman" w:hAnsi="Times New Roman" w:eastAsia="Times New Roman" w:cs="Times New Roman"/>
          <w:i/>
          <w:iCs/>
          <w:spacing w:val="1"/>
          <w:szCs w:val="21"/>
        </w:rPr>
        <w:t>r</w:t>
      </w:r>
      <w:r>
        <w:rPr>
          <w:rFonts w:hint="default" w:ascii="Times New Roman" w:hAnsi="Times New Roman" w:eastAsia="Times New Roman" w:cs="Times New Roman"/>
          <w:position w:val="-1"/>
          <w:szCs w:val="21"/>
          <w:vertAlign w:val="subscript"/>
        </w:rPr>
        <w:t>2</w:t>
      </w:r>
      <w:r>
        <w:rPr>
          <w:rFonts w:hint="default" w:ascii="Times New Roman" w:hAnsi="Times New Roman" w:eastAsia="Times New Roman" w:cs="Times New Roman"/>
          <w:spacing w:val="-11"/>
          <w:szCs w:val="21"/>
        </w:rPr>
        <w:t xml:space="preserve"> </w:t>
      </w:r>
      <w:r>
        <w:rPr>
          <w:rFonts w:hint="default" w:ascii="Times New Roman" w:hAnsi="Times New Roman" w:cs="Times New Roman"/>
          <w:spacing w:val="1"/>
          <w:szCs w:val="21"/>
        </w:rPr>
        <w:t>、</w:t>
      </w:r>
      <w:r>
        <w:rPr>
          <w:rFonts w:hint="default" w:ascii="Times New Roman" w:hAnsi="Times New Roman" w:eastAsia="Times New Roman" w:cs="Times New Roman"/>
          <w:i/>
          <w:iCs/>
          <w:spacing w:val="1"/>
          <w:szCs w:val="21"/>
        </w:rPr>
        <w:t>k</w:t>
      </w:r>
      <w:r>
        <w:rPr>
          <w:rFonts w:hint="default" w:ascii="Times New Roman" w:hAnsi="Times New Roman" w:eastAsia="Times New Roman" w:cs="Times New Roman"/>
          <w:position w:val="-1"/>
          <w:szCs w:val="21"/>
          <w:vertAlign w:val="subscript"/>
        </w:rPr>
        <w:t>2</w:t>
      </w:r>
      <w:r>
        <w:rPr>
          <w:rFonts w:hint="default" w:ascii="Times New Roman" w:hAnsi="Times New Roman" w:eastAsia="Times New Roman" w:cs="Times New Roman"/>
          <w:spacing w:val="-11"/>
          <w:position w:val="-1"/>
          <w:szCs w:val="21"/>
        </w:rPr>
        <w:t xml:space="preserve"> </w:t>
      </w:r>
      <w:r>
        <w:rPr>
          <w:rFonts w:hint="default" w:ascii="Times New Roman" w:hAnsi="Times New Roman" w:cs="Times New Roman"/>
          <w:spacing w:val="1"/>
          <w:szCs w:val="21"/>
        </w:rPr>
        <w:t>、</w:t>
      </w:r>
      <w:r>
        <w:rPr>
          <w:rFonts w:hint="default" w:ascii="Times New Roman" w:hAnsi="Times New Roman" w:eastAsia="Times New Roman" w:cs="Times New Roman"/>
          <w:i/>
          <w:iCs/>
          <w:spacing w:val="1"/>
          <w:szCs w:val="21"/>
        </w:rPr>
        <w:t>r</w:t>
      </w:r>
      <w:r>
        <w:rPr>
          <w:rFonts w:hint="default" w:ascii="Times New Roman" w:hAnsi="Times New Roman" w:eastAsia="Times New Roman" w:cs="Times New Roman"/>
          <w:position w:val="-1"/>
          <w:szCs w:val="21"/>
          <w:vertAlign w:val="subscript"/>
        </w:rPr>
        <w:t xml:space="preserve">3 </w:t>
      </w:r>
      <w:r>
        <w:rPr>
          <w:rFonts w:hint="default" w:ascii="Times New Roman" w:hAnsi="Times New Roman" w:cs="Times New Roman"/>
          <w:spacing w:val="1"/>
          <w:szCs w:val="21"/>
        </w:rPr>
        <w:t>、</w:t>
      </w:r>
      <w:r>
        <w:rPr>
          <w:rFonts w:hint="default" w:ascii="Times New Roman" w:hAnsi="Times New Roman" w:eastAsia="Times New Roman" w:cs="Times New Roman"/>
          <w:i/>
          <w:iCs/>
          <w:spacing w:val="1"/>
          <w:szCs w:val="21"/>
        </w:rPr>
        <w:t>k</w:t>
      </w:r>
      <w:r>
        <w:rPr>
          <w:rFonts w:hint="default" w:ascii="Times New Roman" w:hAnsi="Times New Roman" w:eastAsia="Times New Roman" w:cs="Times New Roman"/>
          <w:position w:val="-1"/>
          <w:szCs w:val="21"/>
          <w:vertAlign w:val="subscript"/>
        </w:rPr>
        <w:t>3</w:t>
      </w:r>
      <w:r>
        <w:rPr>
          <w:rFonts w:hint="default" w:ascii="Times New Roman" w:hAnsi="Times New Roman" w:eastAsia="Times New Roman" w:cs="Times New Roman"/>
          <w:spacing w:val="-8"/>
          <w:position w:val="-1"/>
          <w:szCs w:val="21"/>
        </w:rPr>
        <w:t xml:space="preserve"> </w:t>
      </w:r>
      <w:r>
        <w:rPr>
          <w:rFonts w:hint="default" w:ascii="Times New Roman" w:hAnsi="Times New Roman" w:cs="Times New Roman"/>
          <w:spacing w:val="1"/>
          <w:szCs w:val="21"/>
        </w:rPr>
        <w:t>、</w:t>
      </w:r>
      <w:r>
        <w:rPr>
          <w:rFonts w:hint="default" w:ascii="Times New Roman" w:hAnsi="Times New Roman" w:eastAsia="Times New Roman" w:cs="Times New Roman"/>
          <w:i/>
          <w:iCs/>
          <w:spacing w:val="1"/>
          <w:szCs w:val="21"/>
        </w:rPr>
        <w:t>r</w:t>
      </w:r>
      <w:r>
        <w:rPr>
          <w:rFonts w:hint="default" w:ascii="Times New Roman" w:hAnsi="Times New Roman" w:eastAsia="Times New Roman" w:cs="Times New Roman"/>
          <w:position w:val="-1"/>
          <w:szCs w:val="21"/>
          <w:vertAlign w:val="subscript"/>
        </w:rPr>
        <w:t>4</w:t>
      </w:r>
      <w:r>
        <w:rPr>
          <w:rFonts w:hint="default" w:ascii="Times New Roman" w:hAnsi="Times New Roman" w:eastAsia="Times New Roman" w:cs="Times New Roman"/>
          <w:spacing w:val="-9"/>
          <w:szCs w:val="21"/>
        </w:rPr>
        <w:t xml:space="preserve"> </w:t>
      </w:r>
      <w:r>
        <w:rPr>
          <w:rFonts w:hint="default" w:ascii="Times New Roman" w:hAnsi="Times New Roman" w:cs="Times New Roman"/>
          <w:spacing w:val="1"/>
          <w:szCs w:val="21"/>
        </w:rPr>
        <w:t>、</w:t>
      </w:r>
      <w:r>
        <w:rPr>
          <w:rFonts w:hint="default" w:ascii="Times New Roman" w:hAnsi="Times New Roman" w:eastAsia="Times New Roman" w:cs="Times New Roman"/>
          <w:i/>
          <w:iCs/>
          <w:spacing w:val="1"/>
          <w:szCs w:val="21"/>
        </w:rPr>
        <w:t>k</w:t>
      </w:r>
      <w:r>
        <w:rPr>
          <w:rFonts w:hint="default" w:ascii="Times New Roman" w:hAnsi="Times New Roman" w:eastAsia="Times New Roman" w:cs="Times New Roman"/>
          <w:position w:val="-1"/>
          <w:szCs w:val="21"/>
          <w:vertAlign w:val="subscript"/>
        </w:rPr>
        <w:t>4</w:t>
      </w:r>
      <w:r>
        <w:rPr>
          <w:rFonts w:hint="default" w:ascii="Times New Roman" w:hAnsi="Times New Roman" w:cs="Times New Roman"/>
        </w:rPr>
        <w:t>——模型参数，参数估计值按表 1。</w:t>
      </w:r>
    </w:p>
    <w:p w14:paraId="567E7BBC">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2665"/>
        <w:textAlignment w:val="auto"/>
        <w:rPr>
          <w:rFonts w:hint="eastAsia" w:ascii="黑体" w:hAnsi="黑体" w:eastAsia="黑体" w:cs="黑体"/>
          <w:sz w:val="20"/>
          <w:szCs w:val="20"/>
        </w:rPr>
      </w:pPr>
      <w:r>
        <w:rPr>
          <w:rFonts w:ascii="黑体" w:hAnsi="黑体" w:eastAsia="黑体" w:cs="黑体"/>
          <w:spacing w:val="7"/>
          <w:sz w:val="20"/>
          <w:szCs w:val="20"/>
        </w:rPr>
        <w:t>表</w:t>
      </w:r>
      <w:r>
        <w:rPr>
          <w:rFonts w:ascii="黑体" w:hAnsi="黑体" w:eastAsia="黑体" w:cs="黑体"/>
          <w:spacing w:val="-18"/>
          <w:sz w:val="20"/>
          <w:szCs w:val="20"/>
        </w:rPr>
        <w:t xml:space="preserve"> </w:t>
      </w:r>
      <w:r>
        <w:rPr>
          <w:rFonts w:ascii="Times New Roman" w:hAnsi="Times New Roman" w:eastAsia="Times New Roman"/>
          <w:spacing w:val="7"/>
          <w:sz w:val="20"/>
          <w:szCs w:val="20"/>
        </w:rPr>
        <w:t xml:space="preserve">1  </w:t>
      </w:r>
      <w:r>
        <w:rPr>
          <w:rFonts w:hint="eastAsia" w:ascii="黑体" w:hAnsi="黑体" w:eastAsia="黑体" w:cs="黑体"/>
          <w:spacing w:val="7"/>
          <w:sz w:val="20"/>
          <w:szCs w:val="20"/>
        </w:rPr>
        <w:t>白桦</w:t>
      </w:r>
      <w:r>
        <w:rPr>
          <w:rFonts w:ascii="黑体" w:hAnsi="黑体" w:eastAsia="黑体" w:cs="黑体"/>
          <w:spacing w:val="7"/>
          <w:sz w:val="20"/>
          <w:szCs w:val="20"/>
        </w:rPr>
        <w:t>生物量模型参数估计结果</w:t>
      </w:r>
    </w:p>
    <w:p w14:paraId="4D5DCD56">
      <w:pPr>
        <w:spacing w:line="130" w:lineRule="exact"/>
      </w:pPr>
    </w:p>
    <w:tbl>
      <w:tblPr>
        <w:tblStyle w:val="230"/>
        <w:tblW w:w="9421"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8"/>
        <w:gridCol w:w="1068"/>
        <w:gridCol w:w="1068"/>
        <w:gridCol w:w="1068"/>
        <w:gridCol w:w="1068"/>
        <w:gridCol w:w="1017"/>
        <w:gridCol w:w="1119"/>
        <w:gridCol w:w="1068"/>
        <w:gridCol w:w="1087"/>
      </w:tblGrid>
      <w:tr w14:paraId="339697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 w:hRule="atLeast"/>
        </w:trPr>
        <w:tc>
          <w:tcPr>
            <w:tcW w:w="858" w:type="dxa"/>
            <w:tcBorders>
              <w:top w:val="single" w:color="000000" w:sz="10" w:space="0"/>
              <w:left w:val="single" w:color="000000" w:sz="10" w:space="0"/>
            </w:tcBorders>
          </w:tcPr>
          <w:p w14:paraId="229B479E">
            <w:pPr>
              <w:spacing w:before="65" w:line="219" w:lineRule="auto"/>
              <w:ind w:left="240"/>
              <w:rPr>
                <w:rFonts w:hint="eastAsia" w:ascii="宋体" w:hAnsi="宋体" w:cs="宋体" w:eastAsiaTheme="minorEastAsia"/>
                <w:sz w:val="18"/>
                <w:szCs w:val="18"/>
              </w:rPr>
            </w:pPr>
            <w:r>
              <w:rPr>
                <w:rFonts w:ascii="宋体" w:hAnsi="宋体" w:cs="宋体" w:eastAsiaTheme="minorEastAsia"/>
                <w:spacing w:val="-5"/>
                <w:sz w:val="18"/>
                <w:szCs w:val="18"/>
              </w:rPr>
              <w:t>参数</w:t>
            </w:r>
          </w:p>
        </w:tc>
        <w:tc>
          <w:tcPr>
            <w:tcW w:w="1068" w:type="dxa"/>
            <w:tcBorders>
              <w:top w:val="single" w:color="000000" w:sz="10" w:space="0"/>
            </w:tcBorders>
          </w:tcPr>
          <w:p w14:paraId="3A17370A">
            <w:pPr>
              <w:pStyle w:val="231"/>
              <w:spacing w:before="135" w:line="158" w:lineRule="auto"/>
              <w:ind w:left="460"/>
              <w:rPr>
                <w:rFonts w:cs="Arial"/>
                <w:sz w:val="11"/>
                <w:szCs w:val="11"/>
              </w:rPr>
            </w:pPr>
            <w:r>
              <w:rPr>
                <w:rFonts w:cs="Arial"/>
                <w:spacing w:val="-3"/>
              </w:rPr>
              <w:t>c</w:t>
            </w:r>
            <w:r>
              <w:rPr>
                <w:rFonts w:cs="Arial"/>
                <w:spacing w:val="-3"/>
                <w:sz w:val="11"/>
                <w:szCs w:val="11"/>
              </w:rPr>
              <w:t>0</w:t>
            </w:r>
          </w:p>
        </w:tc>
        <w:tc>
          <w:tcPr>
            <w:tcW w:w="1068" w:type="dxa"/>
            <w:tcBorders>
              <w:top w:val="single" w:color="000000" w:sz="10" w:space="0"/>
            </w:tcBorders>
          </w:tcPr>
          <w:p w14:paraId="27A74EC7">
            <w:pPr>
              <w:pStyle w:val="231"/>
              <w:spacing w:before="92" w:line="197" w:lineRule="auto"/>
              <w:ind w:left="451"/>
              <w:rPr>
                <w:rFonts w:cs="Arial"/>
                <w:sz w:val="11"/>
                <w:szCs w:val="11"/>
              </w:rPr>
            </w:pPr>
            <w:r>
              <w:rPr>
                <w:rFonts w:cs="Arial"/>
              </w:rPr>
              <w:t>b</w:t>
            </w:r>
            <w:r>
              <w:rPr>
                <w:rFonts w:cs="Arial"/>
                <w:position w:val="-1"/>
                <w:sz w:val="11"/>
                <w:szCs w:val="11"/>
              </w:rPr>
              <w:t>0</w:t>
            </w:r>
          </w:p>
        </w:tc>
        <w:tc>
          <w:tcPr>
            <w:tcW w:w="1068" w:type="dxa"/>
            <w:tcBorders>
              <w:top w:val="single" w:color="000000" w:sz="10" w:space="0"/>
            </w:tcBorders>
          </w:tcPr>
          <w:p w14:paraId="27F2C530">
            <w:pPr>
              <w:pStyle w:val="231"/>
              <w:spacing w:before="135" w:line="159" w:lineRule="auto"/>
              <w:ind w:left="469"/>
              <w:rPr>
                <w:rFonts w:cs="Arial"/>
                <w:sz w:val="11"/>
                <w:szCs w:val="11"/>
              </w:rPr>
            </w:pPr>
            <w:r>
              <w:rPr>
                <w:rFonts w:cs="Arial"/>
              </w:rPr>
              <w:t>r</w:t>
            </w:r>
            <w:r>
              <w:rPr>
                <w:rFonts w:cs="Arial"/>
                <w:sz w:val="11"/>
                <w:szCs w:val="11"/>
              </w:rPr>
              <w:t>2</w:t>
            </w:r>
          </w:p>
        </w:tc>
        <w:tc>
          <w:tcPr>
            <w:tcW w:w="1068" w:type="dxa"/>
            <w:tcBorders>
              <w:top w:val="single" w:color="000000" w:sz="10" w:space="0"/>
            </w:tcBorders>
          </w:tcPr>
          <w:p w14:paraId="27839A8E">
            <w:pPr>
              <w:pStyle w:val="231"/>
              <w:spacing w:before="92" w:line="197" w:lineRule="auto"/>
              <w:ind w:left="457"/>
              <w:rPr>
                <w:rFonts w:cs="Arial"/>
                <w:sz w:val="11"/>
                <w:szCs w:val="11"/>
              </w:rPr>
            </w:pPr>
            <w:r>
              <w:rPr>
                <w:rFonts w:cs="Arial"/>
                <w:spacing w:val="1"/>
              </w:rPr>
              <w:t>k</w:t>
            </w:r>
            <w:r>
              <w:rPr>
                <w:rFonts w:cs="Arial"/>
                <w:spacing w:val="1"/>
                <w:position w:val="-1"/>
                <w:sz w:val="11"/>
                <w:szCs w:val="11"/>
              </w:rPr>
              <w:t>2</w:t>
            </w:r>
          </w:p>
        </w:tc>
        <w:tc>
          <w:tcPr>
            <w:tcW w:w="1017" w:type="dxa"/>
            <w:tcBorders>
              <w:top w:val="single" w:color="000000" w:sz="10" w:space="0"/>
            </w:tcBorders>
          </w:tcPr>
          <w:p w14:paraId="7ECD0470">
            <w:pPr>
              <w:pStyle w:val="231"/>
              <w:spacing w:before="135" w:line="159" w:lineRule="auto"/>
              <w:ind w:left="450"/>
              <w:rPr>
                <w:rFonts w:cs="Arial"/>
                <w:sz w:val="11"/>
                <w:szCs w:val="11"/>
              </w:rPr>
            </w:pPr>
            <w:r>
              <w:rPr>
                <w:rFonts w:cs="Arial"/>
              </w:rPr>
              <w:t>r</w:t>
            </w:r>
            <w:r>
              <w:rPr>
                <w:rFonts w:cs="Arial"/>
                <w:sz w:val="11"/>
                <w:szCs w:val="11"/>
              </w:rPr>
              <w:t>3</w:t>
            </w:r>
          </w:p>
        </w:tc>
        <w:tc>
          <w:tcPr>
            <w:tcW w:w="1119" w:type="dxa"/>
            <w:tcBorders>
              <w:top w:val="single" w:color="000000" w:sz="10" w:space="0"/>
            </w:tcBorders>
          </w:tcPr>
          <w:p w14:paraId="1A302823">
            <w:pPr>
              <w:pStyle w:val="231"/>
              <w:spacing w:before="92" w:line="197" w:lineRule="auto"/>
              <w:ind w:left="489"/>
              <w:rPr>
                <w:rFonts w:cs="Arial"/>
                <w:sz w:val="11"/>
                <w:szCs w:val="11"/>
              </w:rPr>
            </w:pPr>
            <w:r>
              <w:rPr>
                <w:rFonts w:cs="Arial"/>
                <w:spacing w:val="1"/>
              </w:rPr>
              <w:t>k</w:t>
            </w:r>
            <w:r>
              <w:rPr>
                <w:rFonts w:cs="Arial"/>
                <w:spacing w:val="1"/>
                <w:position w:val="-1"/>
                <w:sz w:val="11"/>
                <w:szCs w:val="11"/>
              </w:rPr>
              <w:t>3</w:t>
            </w:r>
          </w:p>
        </w:tc>
        <w:tc>
          <w:tcPr>
            <w:tcW w:w="1068" w:type="dxa"/>
            <w:tcBorders>
              <w:top w:val="single" w:color="000000" w:sz="10" w:space="0"/>
            </w:tcBorders>
          </w:tcPr>
          <w:p w14:paraId="44808C79">
            <w:pPr>
              <w:pStyle w:val="231"/>
              <w:spacing w:before="135" w:line="159" w:lineRule="auto"/>
              <w:ind w:left="481"/>
              <w:rPr>
                <w:rFonts w:cs="Arial"/>
                <w:sz w:val="11"/>
                <w:szCs w:val="11"/>
              </w:rPr>
            </w:pPr>
            <w:r>
              <w:rPr>
                <w:rFonts w:cs="Arial"/>
              </w:rPr>
              <w:t>r</w:t>
            </w:r>
            <w:r>
              <w:rPr>
                <w:rFonts w:cs="Arial"/>
                <w:sz w:val="11"/>
                <w:szCs w:val="11"/>
              </w:rPr>
              <w:t>4</w:t>
            </w:r>
          </w:p>
        </w:tc>
        <w:tc>
          <w:tcPr>
            <w:tcW w:w="1087" w:type="dxa"/>
            <w:tcBorders>
              <w:top w:val="single" w:color="000000" w:sz="10" w:space="0"/>
              <w:right w:val="single" w:color="000000" w:sz="10" w:space="0"/>
            </w:tcBorders>
          </w:tcPr>
          <w:p w14:paraId="1299DBEC">
            <w:pPr>
              <w:pStyle w:val="231"/>
              <w:spacing w:before="92" w:line="197" w:lineRule="auto"/>
              <w:ind w:left="472"/>
              <w:rPr>
                <w:rFonts w:cs="Arial"/>
                <w:sz w:val="11"/>
                <w:szCs w:val="11"/>
              </w:rPr>
            </w:pPr>
            <w:r>
              <w:rPr>
                <w:rFonts w:cs="Arial"/>
                <w:spacing w:val="1"/>
              </w:rPr>
              <w:t>k</w:t>
            </w:r>
            <w:r>
              <w:rPr>
                <w:rFonts w:cs="Arial"/>
                <w:spacing w:val="1"/>
                <w:position w:val="-1"/>
                <w:sz w:val="11"/>
                <w:szCs w:val="11"/>
              </w:rPr>
              <w:t>4</w:t>
            </w:r>
          </w:p>
        </w:tc>
      </w:tr>
      <w:tr w14:paraId="4701E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858" w:type="dxa"/>
            <w:tcBorders>
              <w:left w:val="single" w:color="000000" w:sz="10" w:space="0"/>
              <w:bottom w:val="single" w:color="000000" w:sz="10" w:space="0"/>
            </w:tcBorders>
          </w:tcPr>
          <w:p w14:paraId="33455809">
            <w:pPr>
              <w:spacing w:before="72" w:line="219" w:lineRule="auto"/>
              <w:ind w:left="153"/>
              <w:rPr>
                <w:rFonts w:hint="eastAsia" w:ascii="宋体" w:hAnsi="宋体" w:cs="宋体" w:eastAsiaTheme="minorEastAsia"/>
                <w:sz w:val="18"/>
                <w:szCs w:val="18"/>
              </w:rPr>
            </w:pPr>
            <w:r>
              <w:rPr>
                <w:rFonts w:ascii="宋体" w:hAnsi="宋体" w:cs="宋体" w:eastAsiaTheme="minorEastAsia"/>
                <w:spacing w:val="-4"/>
                <w:sz w:val="18"/>
                <w:szCs w:val="18"/>
              </w:rPr>
              <w:t>系数值</w:t>
            </w:r>
          </w:p>
        </w:tc>
        <w:tc>
          <w:tcPr>
            <w:tcW w:w="1068" w:type="dxa"/>
            <w:tcBorders>
              <w:bottom w:val="single" w:color="000000" w:sz="10" w:space="0"/>
            </w:tcBorders>
          </w:tcPr>
          <w:p w14:paraId="064F0DBE">
            <w:pPr>
              <w:pStyle w:val="231"/>
              <w:spacing w:before="103" w:line="188" w:lineRule="auto"/>
              <w:ind w:left="194"/>
              <w:rPr>
                <w:rFonts w:cs="Arial"/>
              </w:rPr>
            </w:pPr>
          </w:p>
        </w:tc>
        <w:tc>
          <w:tcPr>
            <w:tcW w:w="1068" w:type="dxa"/>
            <w:tcBorders>
              <w:bottom w:val="single" w:color="000000" w:sz="10" w:space="0"/>
            </w:tcBorders>
          </w:tcPr>
          <w:p w14:paraId="21CED58B">
            <w:pPr>
              <w:pStyle w:val="231"/>
              <w:spacing w:before="103" w:line="188" w:lineRule="auto"/>
              <w:ind w:left="191"/>
              <w:rPr>
                <w:rFonts w:cs="Arial"/>
              </w:rPr>
            </w:pPr>
          </w:p>
        </w:tc>
        <w:tc>
          <w:tcPr>
            <w:tcW w:w="1068" w:type="dxa"/>
            <w:tcBorders>
              <w:bottom w:val="single" w:color="000000" w:sz="10" w:space="0"/>
            </w:tcBorders>
          </w:tcPr>
          <w:p w14:paraId="1AA023AA">
            <w:pPr>
              <w:pStyle w:val="231"/>
              <w:spacing w:before="103" w:line="188" w:lineRule="auto"/>
              <w:ind w:left="198"/>
              <w:rPr>
                <w:rFonts w:cs="Arial"/>
              </w:rPr>
            </w:pPr>
          </w:p>
        </w:tc>
        <w:tc>
          <w:tcPr>
            <w:tcW w:w="1068" w:type="dxa"/>
            <w:tcBorders>
              <w:bottom w:val="single" w:color="000000" w:sz="10" w:space="0"/>
            </w:tcBorders>
          </w:tcPr>
          <w:p w14:paraId="0C84FBEA">
            <w:pPr>
              <w:pStyle w:val="231"/>
              <w:spacing w:before="103" w:line="188" w:lineRule="auto"/>
              <w:ind w:left="201"/>
              <w:rPr>
                <w:rFonts w:cs="Arial"/>
              </w:rPr>
            </w:pPr>
          </w:p>
        </w:tc>
        <w:tc>
          <w:tcPr>
            <w:tcW w:w="1017" w:type="dxa"/>
            <w:tcBorders>
              <w:bottom w:val="single" w:color="000000" w:sz="10" w:space="0"/>
            </w:tcBorders>
          </w:tcPr>
          <w:p w14:paraId="64C0FA9A">
            <w:pPr>
              <w:pStyle w:val="231"/>
              <w:spacing w:before="103" w:line="188" w:lineRule="auto"/>
              <w:ind w:left="222"/>
              <w:rPr>
                <w:rFonts w:cs="Arial"/>
              </w:rPr>
            </w:pPr>
          </w:p>
        </w:tc>
        <w:tc>
          <w:tcPr>
            <w:tcW w:w="1119" w:type="dxa"/>
            <w:tcBorders>
              <w:bottom w:val="single" w:color="000000" w:sz="10" w:space="0"/>
            </w:tcBorders>
          </w:tcPr>
          <w:p w14:paraId="5A5AC16E">
            <w:pPr>
              <w:pStyle w:val="231"/>
              <w:spacing w:before="103" w:line="188" w:lineRule="auto"/>
              <w:ind w:left="202"/>
              <w:rPr>
                <w:rFonts w:cs="Arial"/>
              </w:rPr>
            </w:pPr>
          </w:p>
        </w:tc>
        <w:tc>
          <w:tcPr>
            <w:tcW w:w="1068" w:type="dxa"/>
            <w:tcBorders>
              <w:bottom w:val="single" w:color="000000" w:sz="10" w:space="0"/>
            </w:tcBorders>
          </w:tcPr>
          <w:p w14:paraId="66BB90D8">
            <w:pPr>
              <w:pStyle w:val="231"/>
              <w:spacing w:before="103" w:line="188" w:lineRule="auto"/>
              <w:ind w:left="225"/>
              <w:rPr>
                <w:rFonts w:cs="Arial"/>
              </w:rPr>
            </w:pPr>
          </w:p>
        </w:tc>
        <w:tc>
          <w:tcPr>
            <w:tcW w:w="1087" w:type="dxa"/>
            <w:tcBorders>
              <w:bottom w:val="single" w:color="000000" w:sz="10" w:space="0"/>
              <w:right w:val="single" w:color="000000" w:sz="10" w:space="0"/>
            </w:tcBorders>
          </w:tcPr>
          <w:p w14:paraId="44B0A049">
            <w:pPr>
              <w:pStyle w:val="231"/>
              <w:spacing w:before="103" w:line="188" w:lineRule="auto"/>
              <w:ind w:left="185"/>
              <w:rPr>
                <w:rFonts w:cs="Arial"/>
              </w:rPr>
            </w:pPr>
          </w:p>
        </w:tc>
      </w:tr>
    </w:tbl>
    <w:p w14:paraId="26374ABC">
      <w:pPr>
        <w:pStyle w:val="56"/>
        <w:ind w:firstLine="420"/>
      </w:pPr>
    </w:p>
    <w:p w14:paraId="323ACB71">
      <w:pPr>
        <w:pStyle w:val="105"/>
        <w:spacing w:before="120" w:after="120"/>
      </w:pPr>
      <w:bookmarkStart w:id="52" w:name="_Toc236295465"/>
      <w:r>
        <w:rPr>
          <w:rFonts w:hint="eastAsia"/>
        </w:rPr>
        <w:t>立木含碳量计算方法</w:t>
      </w:r>
      <w:bookmarkEnd w:id="52"/>
    </w:p>
    <w:p w14:paraId="31F321CD">
      <w:pPr>
        <w:pStyle w:val="56"/>
        <w:ind w:firstLine="420"/>
        <w:rPr>
          <w:rFonts w:ascii="Times New Roman"/>
        </w:rPr>
      </w:pPr>
      <w:r>
        <w:rPr>
          <w:rFonts w:ascii="Times New Roman"/>
        </w:rPr>
        <w:t>白桦立木含碳量根据白桦各器官生物量与含碳系数计算。计算公式如下:</w:t>
      </w:r>
    </w:p>
    <w:p w14:paraId="576485B8">
      <w:pPr>
        <w:pStyle w:val="56"/>
        <w:ind w:firstLine="400"/>
        <w:jc w:val="center"/>
        <w:rPr>
          <w:rFonts w:hint="default" w:ascii="Times New Roman" w:hAnsi="Times New Roman" w:cs="Times New Roman"/>
        </w:rPr>
      </w:pPr>
      <w:r>
        <w:rPr>
          <w:rFonts w:hint="default" w:ascii="Times New Roman" w:hAnsi="Times New Roman" w:eastAsia="Times New Roman" w:cs="Times New Roman"/>
          <w:i/>
          <w:iCs/>
          <w:spacing w:val="1"/>
          <w:szCs w:val="21"/>
        </w:rPr>
        <w:t>C</w:t>
      </w:r>
      <w:r>
        <w:rPr>
          <w:rFonts w:hint="default" w:ascii="Times New Roman" w:hAnsi="Times New Roman" w:eastAsia="Times New Roman" w:cs="Times New Roman"/>
          <w:spacing w:val="10"/>
          <w:position w:val="1"/>
          <w:sz w:val="20"/>
        </w:rPr>
        <w:t>=</w:t>
      </w:r>
      <w:r>
        <w:rPr>
          <w:rFonts w:hint="default" w:ascii="Times New Roman" w:hAnsi="Times New Roman" w:eastAsia="Times New Roman" w:cs="Times New Roman"/>
          <w:spacing w:val="23"/>
          <w:position w:val="1"/>
          <w:sz w:val="20"/>
        </w:rPr>
        <w:t xml:space="preserve"> </w:t>
      </w:r>
      <w:r>
        <w:rPr>
          <w:rFonts w:hint="default" w:ascii="Times New Roman" w:hAnsi="Times New Roman" w:eastAsia="Cambria Math" w:cs="Times New Roman"/>
          <w:i/>
          <w:iCs/>
          <w:position w:val="1"/>
        </w:rPr>
        <w:t>W</w:t>
      </w:r>
      <w:r>
        <w:rPr>
          <w:rFonts w:hint="default" w:ascii="Times New Roman" w:hAnsi="Times New Roman" w:eastAsia="Cambria Math" w:cs="Times New Roman"/>
          <w:i/>
          <w:iCs/>
          <w:position w:val="1"/>
          <w:sz w:val="15"/>
          <w:szCs w:val="15"/>
        </w:rPr>
        <w:t>s</w:t>
      </w:r>
      <w:r>
        <w:rPr>
          <w:rFonts w:hint="default" w:ascii="Times New Roman" w:hAnsi="Times New Roman" w:eastAsia="Cambria Math" w:cs="Times New Roman"/>
          <w:spacing w:val="10"/>
          <w:position w:val="1"/>
          <w:sz w:val="15"/>
          <w:szCs w:val="15"/>
        </w:rPr>
        <w:t xml:space="preserve"> </w:t>
      </w:r>
      <w:r>
        <w:rPr>
          <w:rFonts w:hint="default" w:ascii="Times New Roman" w:hAnsi="Times New Roman" w:eastAsia="Times New Roman" w:cs="Times New Roman"/>
          <w:spacing w:val="10"/>
          <w:position w:val="1"/>
          <w:sz w:val="20"/>
        </w:rPr>
        <w:t>×</w:t>
      </w:r>
      <w:r>
        <w:rPr>
          <w:rFonts w:hint="default" w:ascii="Times New Roman" w:hAnsi="Times New Roman" w:eastAsia="Times New Roman" w:cs="Times New Roman"/>
          <w:i/>
          <w:iCs/>
          <w:spacing w:val="1"/>
          <w:szCs w:val="21"/>
        </w:rPr>
        <w:t>CF</w:t>
      </w:r>
      <w:r>
        <w:rPr>
          <w:rFonts w:hint="default" w:ascii="Times New Roman" w:hAnsi="Times New Roman" w:eastAsia="Cambria Math" w:cs="Times New Roman"/>
          <w:position w:val="1"/>
          <w:sz w:val="14"/>
          <w:szCs w:val="14"/>
        </w:rPr>
        <w:t>s</w:t>
      </w:r>
      <w:r>
        <w:rPr>
          <w:rFonts w:hint="default" w:ascii="Times New Roman" w:hAnsi="Times New Roman" w:eastAsia="Cambria Math" w:cs="Times New Roman"/>
          <w:spacing w:val="10"/>
          <w:position w:val="1"/>
          <w:sz w:val="14"/>
          <w:szCs w:val="14"/>
        </w:rPr>
        <w:t>+</w:t>
      </w:r>
      <w:r>
        <w:rPr>
          <w:rFonts w:hint="default" w:ascii="Times New Roman" w:hAnsi="Times New Roman" w:eastAsia="Cambria Math" w:cs="Times New Roman"/>
          <w:i/>
          <w:iCs/>
          <w:position w:val="1"/>
        </w:rPr>
        <w:t>W</w:t>
      </w:r>
      <w:r>
        <w:rPr>
          <w:rFonts w:hint="default" w:ascii="Times New Roman" w:hAnsi="Times New Roman" w:eastAsia="Cambria Math" w:cs="Times New Roman"/>
          <w:i/>
          <w:iCs/>
          <w:position w:val="1"/>
          <w:sz w:val="15"/>
          <w:szCs w:val="15"/>
        </w:rPr>
        <w:t>b</w:t>
      </w:r>
      <w:r>
        <w:rPr>
          <w:rFonts w:hint="default" w:ascii="Times New Roman" w:hAnsi="Times New Roman" w:eastAsia="Cambria Math" w:cs="Times New Roman"/>
          <w:spacing w:val="10"/>
          <w:position w:val="1"/>
          <w:sz w:val="15"/>
          <w:szCs w:val="15"/>
        </w:rPr>
        <w:t xml:space="preserve"> </w:t>
      </w:r>
      <w:r>
        <w:rPr>
          <w:rFonts w:hint="default" w:ascii="Times New Roman" w:hAnsi="Times New Roman" w:eastAsia="Times New Roman" w:cs="Times New Roman"/>
          <w:spacing w:val="10"/>
          <w:position w:val="1"/>
          <w:sz w:val="20"/>
        </w:rPr>
        <w:t>×</w:t>
      </w:r>
      <w:r>
        <w:rPr>
          <w:rFonts w:hint="default" w:ascii="Times New Roman" w:hAnsi="Times New Roman" w:eastAsia="Times New Roman" w:cs="Times New Roman"/>
          <w:i/>
          <w:iCs/>
          <w:spacing w:val="1"/>
          <w:szCs w:val="21"/>
        </w:rPr>
        <w:t>CF</w:t>
      </w:r>
      <w:r>
        <w:rPr>
          <w:rFonts w:hint="default" w:ascii="Times New Roman" w:hAnsi="Times New Roman" w:eastAsia="Cambria Math" w:cs="Times New Roman"/>
          <w:position w:val="1"/>
          <w:sz w:val="14"/>
          <w:szCs w:val="14"/>
        </w:rPr>
        <w:t>b</w:t>
      </w:r>
      <w:r>
        <w:rPr>
          <w:rFonts w:hint="default" w:ascii="Times New Roman" w:hAnsi="Times New Roman" w:eastAsia="Cambria Math" w:cs="Times New Roman"/>
          <w:spacing w:val="10"/>
          <w:position w:val="1"/>
          <w:sz w:val="14"/>
          <w:szCs w:val="14"/>
        </w:rPr>
        <w:t>+</w:t>
      </w:r>
      <w:r>
        <w:rPr>
          <w:rFonts w:hint="default" w:ascii="Times New Roman" w:hAnsi="Times New Roman" w:eastAsia="Cambria Math" w:cs="Times New Roman"/>
          <w:i/>
          <w:iCs/>
          <w:position w:val="1"/>
        </w:rPr>
        <w:t>W</w:t>
      </w:r>
      <w:r>
        <w:rPr>
          <w:rFonts w:hint="default" w:ascii="Times New Roman" w:hAnsi="Times New Roman" w:eastAsia="Cambria Math" w:cs="Times New Roman"/>
          <w:i/>
          <w:iCs/>
          <w:position w:val="1"/>
          <w:sz w:val="15"/>
          <w:szCs w:val="15"/>
        </w:rPr>
        <w:t>l</w:t>
      </w:r>
      <w:r>
        <w:rPr>
          <w:rFonts w:hint="default" w:ascii="Times New Roman" w:hAnsi="Times New Roman" w:eastAsia="Cambria Math" w:cs="Times New Roman"/>
          <w:spacing w:val="10"/>
          <w:position w:val="1"/>
          <w:sz w:val="15"/>
          <w:szCs w:val="15"/>
        </w:rPr>
        <w:t xml:space="preserve"> </w:t>
      </w:r>
      <w:r>
        <w:rPr>
          <w:rFonts w:hint="default" w:ascii="Times New Roman" w:hAnsi="Times New Roman" w:eastAsia="Times New Roman" w:cs="Times New Roman"/>
          <w:spacing w:val="10"/>
          <w:position w:val="1"/>
          <w:sz w:val="20"/>
        </w:rPr>
        <w:t>×</w:t>
      </w:r>
      <w:r>
        <w:rPr>
          <w:rFonts w:hint="default" w:ascii="Times New Roman" w:hAnsi="Times New Roman" w:eastAsia="Times New Roman" w:cs="Times New Roman"/>
          <w:i/>
          <w:iCs/>
          <w:spacing w:val="1"/>
          <w:szCs w:val="21"/>
        </w:rPr>
        <w:t>CF</w:t>
      </w:r>
      <w:r>
        <w:rPr>
          <w:rFonts w:hint="default" w:ascii="Times New Roman" w:hAnsi="Times New Roman" w:eastAsia="Cambria Math" w:cs="Times New Roman"/>
          <w:position w:val="1"/>
          <w:sz w:val="14"/>
          <w:szCs w:val="14"/>
        </w:rPr>
        <w:t>l</w:t>
      </w:r>
      <w:r>
        <w:rPr>
          <w:rFonts w:hint="default" w:ascii="Times New Roman" w:hAnsi="Times New Roman" w:eastAsia="Cambria Math" w:cs="Times New Roman"/>
          <w:spacing w:val="10"/>
          <w:position w:val="1"/>
          <w:sz w:val="14"/>
          <w:szCs w:val="14"/>
        </w:rPr>
        <w:t>+</w:t>
      </w:r>
      <w:r>
        <w:rPr>
          <w:rFonts w:hint="default" w:ascii="Times New Roman" w:hAnsi="Times New Roman" w:eastAsia="Cambria Math" w:cs="Times New Roman"/>
          <w:i/>
          <w:iCs/>
          <w:position w:val="1"/>
        </w:rPr>
        <w:t>W</w:t>
      </w:r>
      <w:r>
        <w:rPr>
          <w:rFonts w:hint="default" w:ascii="Times New Roman" w:hAnsi="Times New Roman" w:eastAsia="Cambria Math" w:cs="Times New Roman"/>
          <w:i/>
          <w:iCs/>
          <w:position w:val="1"/>
          <w:sz w:val="15"/>
          <w:szCs w:val="15"/>
        </w:rPr>
        <w:t>r</w:t>
      </w:r>
      <w:r>
        <w:rPr>
          <w:rFonts w:hint="default" w:ascii="Times New Roman" w:hAnsi="Times New Roman" w:eastAsia="Cambria Math" w:cs="Times New Roman"/>
          <w:spacing w:val="10"/>
          <w:position w:val="1"/>
          <w:sz w:val="15"/>
          <w:szCs w:val="15"/>
        </w:rPr>
        <w:t xml:space="preserve"> </w:t>
      </w:r>
      <w:r>
        <w:rPr>
          <w:rFonts w:hint="default" w:ascii="Times New Roman" w:hAnsi="Times New Roman" w:eastAsia="Times New Roman" w:cs="Times New Roman"/>
          <w:spacing w:val="10"/>
          <w:position w:val="1"/>
          <w:sz w:val="20"/>
        </w:rPr>
        <w:t>×</w:t>
      </w:r>
      <w:r>
        <w:rPr>
          <w:rFonts w:hint="default" w:ascii="Times New Roman" w:hAnsi="Times New Roman" w:eastAsia="Times New Roman" w:cs="Times New Roman"/>
          <w:i/>
          <w:iCs/>
          <w:spacing w:val="1"/>
          <w:szCs w:val="21"/>
        </w:rPr>
        <w:t>CF</w:t>
      </w:r>
      <w:r>
        <w:rPr>
          <w:rFonts w:hint="default" w:ascii="Times New Roman" w:hAnsi="Times New Roman" w:eastAsia="Cambria Math" w:cs="Times New Roman"/>
          <w:position w:val="1"/>
          <w:sz w:val="14"/>
          <w:szCs w:val="14"/>
        </w:rPr>
        <w:t>r</w:t>
      </w:r>
      <w:r>
        <w:rPr>
          <w:rFonts w:hint="default" w:ascii="Times New Roman" w:hAnsi="Times New Roman" w:cs="Times New Roman"/>
        </w:rPr>
        <w:t xml:space="preserve">   ……………………………………（2）</w:t>
      </w:r>
    </w:p>
    <w:p w14:paraId="466AD24A">
      <w:pPr>
        <w:pStyle w:val="56"/>
        <w:ind w:firstLine="420"/>
        <w:rPr>
          <w:rFonts w:hint="default" w:ascii="Times New Roman" w:hAnsi="Times New Roman" w:cs="Times New Roman"/>
        </w:rPr>
      </w:pPr>
      <w:r>
        <w:rPr>
          <w:rFonts w:hint="default" w:ascii="Times New Roman" w:hAnsi="Times New Roman" w:cs="Times New Roman"/>
        </w:rPr>
        <w:t>式中：</w:t>
      </w:r>
    </w:p>
    <w:p w14:paraId="0B1230AF">
      <w:pPr>
        <w:pStyle w:val="56"/>
        <w:keepNext w:val="0"/>
        <w:keepLines w:val="0"/>
        <w:pageBreakBefore w:val="0"/>
        <w:kinsoku/>
        <w:wordWrap/>
        <w:overflowPunct/>
        <w:topLinePunct w:val="0"/>
        <w:bidi w:val="0"/>
        <w:snapToGrid/>
        <w:spacing w:line="240" w:lineRule="auto"/>
        <w:ind w:firstLine="420"/>
        <w:textAlignment w:val="auto"/>
        <w:rPr>
          <w:rFonts w:hint="default" w:ascii="Times New Roman" w:hAnsi="Times New Roman" w:cs="Times New Roman"/>
        </w:rPr>
      </w:pPr>
      <w:r>
        <w:rPr>
          <w:rFonts w:hint="default" w:ascii="Times New Roman" w:hAnsi="Times New Roman" w:eastAsia="Times New Roman" w:cs="Times New Roman"/>
          <w:i/>
          <w:iCs/>
          <w:spacing w:val="1"/>
          <w:szCs w:val="21"/>
        </w:rPr>
        <w:t>C</w:t>
      </w:r>
      <w:r>
        <w:rPr>
          <w:rFonts w:hint="default" w:ascii="Times New Roman" w:hAnsi="Times New Roman" w:cs="Times New Roman"/>
        </w:rPr>
        <w:t>——立木含碳量，单位为千克（kg）；</w:t>
      </w:r>
    </w:p>
    <w:p w14:paraId="53E26E35">
      <w:pPr>
        <w:pStyle w:val="56"/>
        <w:keepNext w:val="0"/>
        <w:keepLines w:val="0"/>
        <w:pageBreakBefore w:val="0"/>
        <w:kinsoku/>
        <w:wordWrap/>
        <w:overflowPunct/>
        <w:topLinePunct w:val="0"/>
        <w:bidi w:val="0"/>
        <w:snapToGrid/>
        <w:spacing w:line="240" w:lineRule="auto"/>
        <w:ind w:firstLine="420"/>
        <w:textAlignment w:val="auto"/>
        <w:rPr>
          <w:rFonts w:hint="default" w:ascii="Times New Roman" w:hAnsi="Times New Roman" w:cs="Times New Roman"/>
        </w:rPr>
      </w:pPr>
      <w:r>
        <w:rPr>
          <w:rFonts w:hint="default" w:ascii="Times New Roman" w:hAnsi="Times New Roman" w:cs="Times New Roman"/>
          <w:i/>
          <w:iCs/>
          <w:szCs w:val="21"/>
        </w:rPr>
        <w:t>W</w:t>
      </w:r>
      <w:r>
        <w:rPr>
          <w:rFonts w:hint="default" w:ascii="Times New Roman" w:hAnsi="Times New Roman" w:eastAsia="Times New Roman" w:cs="Times New Roman"/>
          <w:position w:val="-1"/>
          <w:szCs w:val="21"/>
          <w:vertAlign w:val="subscript"/>
        </w:rPr>
        <w:t>S</w:t>
      </w:r>
      <w:r>
        <w:rPr>
          <w:rFonts w:hint="default" w:ascii="Times New Roman" w:hAnsi="Times New Roman" w:cs="Times New Roman"/>
          <w:spacing w:val="-9"/>
          <w:position w:val="-1"/>
          <w:szCs w:val="21"/>
        </w:rPr>
        <w:t xml:space="preserve"> </w:t>
      </w:r>
      <w:r>
        <w:rPr>
          <w:rFonts w:hint="default" w:ascii="Times New Roman" w:hAnsi="Times New Roman" w:cs="Times New Roman"/>
          <w:spacing w:val="8"/>
          <w:szCs w:val="21"/>
        </w:rPr>
        <w:t>、</w:t>
      </w:r>
      <w:r>
        <w:rPr>
          <w:rFonts w:hint="default" w:ascii="Times New Roman" w:hAnsi="Times New Roman" w:cs="Times New Roman"/>
          <w:i/>
          <w:iCs/>
          <w:szCs w:val="21"/>
        </w:rPr>
        <w:t>W</w:t>
      </w:r>
      <w:r>
        <w:rPr>
          <w:rFonts w:hint="default" w:ascii="Times New Roman" w:hAnsi="Times New Roman" w:eastAsia="Times New Roman" w:cs="Times New Roman"/>
          <w:position w:val="-1"/>
          <w:szCs w:val="21"/>
          <w:vertAlign w:val="subscript"/>
        </w:rPr>
        <w:t>b</w:t>
      </w:r>
      <w:r>
        <w:rPr>
          <w:rFonts w:hint="default" w:ascii="Times New Roman" w:hAnsi="Times New Roman" w:cs="Times New Roman"/>
          <w:spacing w:val="-9"/>
          <w:position w:val="-1"/>
          <w:szCs w:val="21"/>
        </w:rPr>
        <w:t xml:space="preserve"> </w:t>
      </w:r>
      <w:r>
        <w:rPr>
          <w:rFonts w:hint="default" w:ascii="Times New Roman" w:hAnsi="Times New Roman" w:cs="Times New Roman"/>
          <w:spacing w:val="8"/>
          <w:szCs w:val="21"/>
        </w:rPr>
        <w:t>、</w:t>
      </w:r>
      <w:r>
        <w:rPr>
          <w:rFonts w:hint="default" w:ascii="Times New Roman" w:hAnsi="Times New Roman" w:cs="Times New Roman"/>
          <w:i/>
          <w:iCs/>
          <w:szCs w:val="21"/>
        </w:rPr>
        <w:t>W</w:t>
      </w:r>
      <w:r>
        <w:rPr>
          <w:rFonts w:hint="default" w:ascii="Times New Roman" w:hAnsi="Times New Roman" w:eastAsia="Times New Roman" w:cs="Times New Roman"/>
          <w:position w:val="-1"/>
          <w:szCs w:val="21"/>
          <w:vertAlign w:val="subscript"/>
        </w:rPr>
        <w:t>l</w:t>
      </w:r>
      <w:r>
        <w:rPr>
          <w:rFonts w:hint="default" w:ascii="Times New Roman" w:hAnsi="Times New Roman" w:cs="Times New Roman"/>
          <w:spacing w:val="-9"/>
          <w:position w:val="-1"/>
          <w:szCs w:val="21"/>
        </w:rPr>
        <w:t xml:space="preserve"> </w:t>
      </w:r>
      <w:r>
        <w:rPr>
          <w:rFonts w:hint="default" w:ascii="Times New Roman" w:hAnsi="Times New Roman" w:cs="Times New Roman"/>
          <w:spacing w:val="8"/>
          <w:szCs w:val="21"/>
        </w:rPr>
        <w:t>、</w:t>
      </w:r>
      <w:r>
        <w:rPr>
          <w:rFonts w:hint="default" w:ascii="Times New Roman" w:hAnsi="Times New Roman" w:cs="Times New Roman"/>
          <w:i/>
          <w:iCs/>
          <w:szCs w:val="21"/>
        </w:rPr>
        <w:t>W</w:t>
      </w:r>
      <w:r>
        <w:rPr>
          <w:rFonts w:hint="default" w:ascii="Times New Roman" w:hAnsi="Times New Roman" w:eastAsia="Times New Roman" w:cs="Times New Roman"/>
          <w:position w:val="-1"/>
          <w:szCs w:val="21"/>
          <w:vertAlign w:val="subscript"/>
        </w:rPr>
        <w:t>r</w:t>
      </w:r>
      <w:r>
        <w:rPr>
          <w:rFonts w:hint="default" w:ascii="Times New Roman" w:hAnsi="Times New Roman" w:cs="Times New Roman"/>
        </w:rPr>
        <w:t>——分别为树干、树枝、树叶、树根的生物量估计值，单位为千克（kg）；</w:t>
      </w:r>
    </w:p>
    <w:p w14:paraId="2FDDE2E2">
      <w:pPr>
        <w:pStyle w:val="56"/>
        <w:keepNext w:val="0"/>
        <w:keepLines w:val="0"/>
        <w:pageBreakBefore w:val="0"/>
        <w:kinsoku/>
        <w:wordWrap/>
        <w:overflowPunct/>
        <w:topLinePunct w:val="0"/>
        <w:bidi w:val="0"/>
        <w:snapToGrid/>
        <w:spacing w:line="240" w:lineRule="auto"/>
        <w:ind w:firstLine="420"/>
        <w:textAlignment w:val="auto"/>
        <w:rPr>
          <w:rFonts w:hint="default" w:ascii="Times New Roman" w:hAnsi="Times New Roman" w:cs="Times New Roman"/>
        </w:rPr>
      </w:pPr>
      <w:r>
        <w:rPr>
          <w:rFonts w:hint="default" w:ascii="Times New Roman" w:hAnsi="Times New Roman" w:eastAsia="Times New Roman" w:cs="Times New Roman"/>
          <w:i/>
          <w:iCs/>
          <w:spacing w:val="1"/>
          <w:szCs w:val="21"/>
        </w:rPr>
        <w:t>CF</w:t>
      </w:r>
      <w:r>
        <w:rPr>
          <w:rFonts w:hint="default" w:ascii="Times New Roman" w:hAnsi="Times New Roman" w:eastAsia="Times New Roman" w:cs="Times New Roman"/>
          <w:kern w:val="2"/>
          <w:position w:val="-1"/>
          <w:szCs w:val="21"/>
          <w:vertAlign w:val="subscript"/>
        </w:rPr>
        <w:t>s</w:t>
      </w:r>
      <w:r>
        <w:rPr>
          <w:rFonts w:hint="default" w:ascii="Times New Roman" w:hAnsi="Times New Roman" w:cs="Times New Roman"/>
          <w:spacing w:val="-2"/>
          <w:szCs w:val="21"/>
        </w:rPr>
        <w:t xml:space="preserve"> </w:t>
      </w:r>
      <w:r>
        <w:rPr>
          <w:rFonts w:hint="default" w:ascii="Times New Roman" w:hAnsi="Times New Roman" w:cs="Times New Roman"/>
          <w:spacing w:val="12"/>
          <w:szCs w:val="21"/>
        </w:rPr>
        <w:t>、</w:t>
      </w:r>
      <w:r>
        <w:rPr>
          <w:rFonts w:hint="default" w:ascii="Times New Roman" w:hAnsi="Times New Roman" w:eastAsia="Times New Roman" w:cs="Times New Roman"/>
          <w:i/>
          <w:iCs/>
          <w:spacing w:val="1"/>
          <w:szCs w:val="21"/>
        </w:rPr>
        <w:t>CF</w:t>
      </w:r>
      <w:r>
        <w:rPr>
          <w:rFonts w:hint="default" w:ascii="Times New Roman" w:hAnsi="Times New Roman" w:eastAsia="Times New Roman" w:cs="Times New Roman"/>
          <w:kern w:val="2"/>
          <w:position w:val="-1"/>
          <w:szCs w:val="21"/>
          <w:vertAlign w:val="subscript"/>
        </w:rPr>
        <w:t>b</w:t>
      </w:r>
      <w:r>
        <w:rPr>
          <w:rFonts w:hint="default" w:ascii="Times New Roman" w:hAnsi="Times New Roman" w:cs="Times New Roman"/>
          <w:spacing w:val="-8"/>
          <w:szCs w:val="21"/>
        </w:rPr>
        <w:t xml:space="preserve"> </w:t>
      </w:r>
      <w:r>
        <w:rPr>
          <w:rFonts w:hint="default" w:ascii="Times New Roman" w:hAnsi="Times New Roman" w:cs="Times New Roman"/>
          <w:spacing w:val="12"/>
          <w:szCs w:val="21"/>
        </w:rPr>
        <w:t>、</w:t>
      </w:r>
      <w:r>
        <w:rPr>
          <w:rFonts w:hint="default" w:ascii="Times New Roman" w:hAnsi="Times New Roman" w:eastAsia="Times New Roman" w:cs="Times New Roman"/>
          <w:i/>
          <w:iCs/>
          <w:spacing w:val="1"/>
          <w:szCs w:val="21"/>
        </w:rPr>
        <w:t>CF</w:t>
      </w:r>
      <w:r>
        <w:rPr>
          <w:rFonts w:hint="default" w:ascii="Times New Roman" w:hAnsi="Times New Roman" w:eastAsia="Times New Roman" w:cs="Times New Roman"/>
          <w:kern w:val="2"/>
          <w:position w:val="-1"/>
          <w:szCs w:val="21"/>
          <w:vertAlign w:val="subscript"/>
        </w:rPr>
        <w:t>l</w:t>
      </w:r>
      <w:r>
        <w:rPr>
          <w:rFonts w:hint="default" w:ascii="Times New Roman" w:hAnsi="Times New Roman" w:cs="Times New Roman"/>
          <w:spacing w:val="-7"/>
          <w:szCs w:val="21"/>
        </w:rPr>
        <w:t xml:space="preserve"> </w:t>
      </w:r>
      <w:r>
        <w:rPr>
          <w:rFonts w:hint="default" w:ascii="Times New Roman" w:hAnsi="Times New Roman" w:cs="Times New Roman"/>
          <w:spacing w:val="12"/>
          <w:szCs w:val="21"/>
        </w:rPr>
        <w:t>、</w:t>
      </w:r>
      <w:r>
        <w:rPr>
          <w:rFonts w:hint="default" w:ascii="Times New Roman" w:hAnsi="Times New Roman" w:eastAsia="Times New Roman" w:cs="Times New Roman"/>
          <w:i/>
          <w:iCs/>
          <w:spacing w:val="1"/>
          <w:szCs w:val="21"/>
        </w:rPr>
        <w:t>CF</w:t>
      </w:r>
      <w:r>
        <w:rPr>
          <w:rFonts w:hint="default" w:ascii="Times New Roman" w:hAnsi="Times New Roman" w:eastAsia="Times New Roman" w:cs="Times New Roman"/>
          <w:kern w:val="2"/>
          <w:position w:val="-1"/>
          <w:szCs w:val="21"/>
          <w:vertAlign w:val="subscript"/>
        </w:rPr>
        <w:t>r</w:t>
      </w:r>
      <w:r>
        <w:rPr>
          <w:rFonts w:hint="default" w:ascii="Times New Roman" w:hAnsi="Times New Roman" w:cs="Times New Roman"/>
        </w:rPr>
        <w:t>——分别为树干、树枝、树叶、树根的含碳系数，具体数值见表2。</w:t>
      </w:r>
    </w:p>
    <w:p w14:paraId="629F053B">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2665"/>
        <w:textAlignment w:val="auto"/>
        <w:rPr>
          <w:rFonts w:hint="default" w:ascii="黑体" w:hAnsi="黑体" w:eastAsia="黑体" w:cs="黑体"/>
          <w:spacing w:val="7"/>
          <w:sz w:val="20"/>
          <w:szCs w:val="20"/>
        </w:rPr>
      </w:pPr>
      <w:r>
        <w:rPr>
          <w:rFonts w:hint="default" w:ascii="黑体" w:hAnsi="黑体" w:eastAsia="黑体" w:cs="黑体"/>
          <w:spacing w:val="7"/>
          <w:sz w:val="20"/>
          <w:szCs w:val="20"/>
        </w:rPr>
        <w:tab/>
      </w:r>
      <w:r>
        <w:rPr>
          <w:rFonts w:hint="default" w:ascii="黑体" w:hAnsi="黑体" w:eastAsia="黑体" w:cs="黑体"/>
          <w:spacing w:val="7"/>
          <w:sz w:val="20"/>
          <w:szCs w:val="20"/>
        </w:rPr>
        <w:t>表 2  白桦各器官含碳系数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6ED491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tcPr>
          <w:p w14:paraId="4925FC3C">
            <w:pPr>
              <w:pStyle w:val="178"/>
              <w:rPr>
                <w:rFonts w:hint="eastAsia"/>
              </w:rPr>
            </w:pPr>
            <w:r>
              <w:rPr>
                <w:rFonts w:hint="eastAsia" w:hAnsi="宋体" w:cs="宋体"/>
                <w:spacing w:val="-5"/>
                <w:szCs w:val="18"/>
              </w:rPr>
              <w:t>白桦</w:t>
            </w:r>
            <w:r>
              <w:rPr>
                <w:rFonts w:hAnsi="宋体" w:cs="宋体"/>
                <w:spacing w:val="-5"/>
                <w:szCs w:val="18"/>
              </w:rPr>
              <w:t>器官</w:t>
            </w:r>
          </w:p>
        </w:tc>
        <w:tc>
          <w:tcPr>
            <w:tcW w:w="1867" w:type="dxa"/>
            <w:tcBorders>
              <w:top w:val="single" w:color="auto" w:sz="8" w:space="0"/>
              <w:bottom w:val="single" w:color="auto" w:sz="8" w:space="0"/>
            </w:tcBorders>
            <w:shd w:val="clear" w:color="auto" w:fill="auto"/>
          </w:tcPr>
          <w:p w14:paraId="514A6210">
            <w:pPr>
              <w:pStyle w:val="178"/>
              <w:rPr>
                <w:rFonts w:hint="eastAsia"/>
              </w:rPr>
            </w:pPr>
            <w:r>
              <w:rPr>
                <w:rFonts w:hAnsi="宋体" w:cs="宋体"/>
                <w:spacing w:val="-5"/>
                <w:szCs w:val="18"/>
              </w:rPr>
              <w:t>树干</w:t>
            </w:r>
          </w:p>
        </w:tc>
        <w:tc>
          <w:tcPr>
            <w:tcW w:w="1867" w:type="dxa"/>
            <w:tcBorders>
              <w:top w:val="single" w:color="auto" w:sz="8" w:space="0"/>
              <w:bottom w:val="single" w:color="auto" w:sz="8" w:space="0"/>
            </w:tcBorders>
            <w:shd w:val="clear" w:color="auto" w:fill="auto"/>
          </w:tcPr>
          <w:p w14:paraId="2DA0D89B">
            <w:pPr>
              <w:pStyle w:val="178"/>
              <w:rPr>
                <w:rFonts w:hint="eastAsia"/>
              </w:rPr>
            </w:pPr>
            <w:r>
              <w:rPr>
                <w:rFonts w:hAnsi="宋体" w:cs="宋体"/>
                <w:spacing w:val="-5"/>
                <w:szCs w:val="18"/>
              </w:rPr>
              <w:t>树叶</w:t>
            </w:r>
          </w:p>
        </w:tc>
        <w:tc>
          <w:tcPr>
            <w:tcW w:w="1867" w:type="dxa"/>
            <w:tcBorders>
              <w:top w:val="single" w:color="auto" w:sz="8" w:space="0"/>
              <w:bottom w:val="single" w:color="auto" w:sz="8" w:space="0"/>
            </w:tcBorders>
            <w:shd w:val="clear" w:color="auto" w:fill="auto"/>
          </w:tcPr>
          <w:p w14:paraId="0EA26F27">
            <w:pPr>
              <w:pStyle w:val="178"/>
              <w:rPr>
                <w:rFonts w:hint="eastAsia"/>
              </w:rPr>
            </w:pPr>
            <w:r>
              <w:rPr>
                <w:rFonts w:hAnsi="宋体" w:cs="宋体"/>
                <w:spacing w:val="-5"/>
                <w:szCs w:val="18"/>
              </w:rPr>
              <w:t>树枝</w:t>
            </w:r>
          </w:p>
        </w:tc>
        <w:tc>
          <w:tcPr>
            <w:tcW w:w="1867" w:type="dxa"/>
            <w:tcBorders>
              <w:top w:val="single" w:color="auto" w:sz="8" w:space="0"/>
              <w:bottom w:val="single" w:color="auto" w:sz="8" w:space="0"/>
            </w:tcBorders>
            <w:shd w:val="clear" w:color="auto" w:fill="auto"/>
          </w:tcPr>
          <w:p w14:paraId="088EF188">
            <w:pPr>
              <w:pStyle w:val="178"/>
              <w:rPr>
                <w:rFonts w:hint="eastAsia"/>
              </w:rPr>
            </w:pPr>
            <w:r>
              <w:rPr>
                <w:rFonts w:hAnsi="宋体" w:cs="宋体"/>
                <w:spacing w:val="-5"/>
                <w:szCs w:val="18"/>
              </w:rPr>
              <w:t>树根</w:t>
            </w:r>
          </w:p>
        </w:tc>
      </w:tr>
      <w:tr w14:paraId="5138BC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6BCC69DF">
            <w:pPr>
              <w:pStyle w:val="178"/>
              <w:rPr>
                <w:rFonts w:hint="eastAsia"/>
              </w:rPr>
            </w:pPr>
          </w:p>
        </w:tc>
        <w:tc>
          <w:tcPr>
            <w:tcW w:w="1867" w:type="dxa"/>
            <w:tcBorders>
              <w:top w:val="single" w:color="auto" w:sz="8" w:space="0"/>
            </w:tcBorders>
            <w:shd w:val="clear" w:color="auto" w:fill="auto"/>
            <w:vAlign w:val="center"/>
          </w:tcPr>
          <w:p w14:paraId="1C066FFF">
            <w:pPr>
              <w:pStyle w:val="178"/>
              <w:rPr>
                <w:rFonts w:hint="eastAsia"/>
              </w:rPr>
            </w:pPr>
          </w:p>
        </w:tc>
        <w:tc>
          <w:tcPr>
            <w:tcW w:w="1867" w:type="dxa"/>
            <w:tcBorders>
              <w:top w:val="single" w:color="auto" w:sz="8" w:space="0"/>
            </w:tcBorders>
            <w:shd w:val="clear" w:color="auto" w:fill="auto"/>
            <w:vAlign w:val="center"/>
          </w:tcPr>
          <w:p w14:paraId="3E035756">
            <w:pPr>
              <w:pStyle w:val="178"/>
              <w:rPr>
                <w:rFonts w:hint="eastAsia"/>
              </w:rPr>
            </w:pPr>
          </w:p>
        </w:tc>
        <w:tc>
          <w:tcPr>
            <w:tcW w:w="1867" w:type="dxa"/>
            <w:tcBorders>
              <w:top w:val="single" w:color="auto" w:sz="8" w:space="0"/>
            </w:tcBorders>
            <w:shd w:val="clear" w:color="auto" w:fill="auto"/>
            <w:vAlign w:val="center"/>
          </w:tcPr>
          <w:p w14:paraId="213A65F2">
            <w:pPr>
              <w:pStyle w:val="178"/>
              <w:rPr>
                <w:rFonts w:hint="eastAsia"/>
              </w:rPr>
            </w:pPr>
          </w:p>
        </w:tc>
        <w:tc>
          <w:tcPr>
            <w:tcW w:w="1867" w:type="dxa"/>
            <w:tcBorders>
              <w:top w:val="single" w:color="auto" w:sz="8" w:space="0"/>
            </w:tcBorders>
            <w:shd w:val="clear" w:color="auto" w:fill="auto"/>
            <w:vAlign w:val="center"/>
          </w:tcPr>
          <w:p w14:paraId="5865B760">
            <w:pPr>
              <w:pStyle w:val="178"/>
              <w:rPr>
                <w:rFonts w:hint="eastAsia"/>
              </w:rPr>
            </w:pPr>
          </w:p>
        </w:tc>
      </w:tr>
    </w:tbl>
    <w:p w14:paraId="256A829C">
      <w:pPr>
        <w:pStyle w:val="104"/>
        <w:spacing w:before="240" w:after="240"/>
      </w:pPr>
      <w:bookmarkStart w:id="53" w:name="_Toc236295466"/>
      <w:r>
        <w:rPr>
          <w:rFonts w:hint="eastAsia"/>
        </w:rPr>
        <w:t>林分碳储量</w:t>
      </w:r>
      <w:bookmarkEnd w:id="53"/>
    </w:p>
    <w:p w14:paraId="006FCB54">
      <w:pPr>
        <w:pStyle w:val="105"/>
        <w:spacing w:before="120" w:after="120"/>
      </w:pPr>
      <w:bookmarkStart w:id="54" w:name="_Toc236295467"/>
      <w:r>
        <w:rPr>
          <w:rFonts w:hint="eastAsia"/>
        </w:rPr>
        <w:t>林分碳密度计算方法</w:t>
      </w:r>
      <w:bookmarkEnd w:id="54"/>
    </w:p>
    <w:p w14:paraId="7E23EFB1">
      <w:pPr>
        <w:pStyle w:val="65"/>
        <w:spacing w:before="120" w:after="120"/>
      </w:pPr>
      <w:bookmarkStart w:id="55" w:name="_Toc236295468"/>
      <w:r>
        <w:rPr>
          <w:rFonts w:hint="eastAsia"/>
        </w:rPr>
        <w:t>基于标准地的碳密度计算方法</w:t>
      </w:r>
      <w:bookmarkEnd w:id="55"/>
    </w:p>
    <w:p w14:paraId="3B0AE89B">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rPr>
        <w:t>基于白桦立木生物量模型（公式1），利用标准地白桦每木检尺数据计算样地内白桦立木生物量，结合含碳系数（表2）计算林分碳密度。计算公式如下：</w:t>
      </w:r>
    </w:p>
    <w:p w14:paraId="74D8DA24">
      <w:pPr>
        <w:keepNext w:val="0"/>
        <w:keepLines w:val="0"/>
        <w:pageBreakBefore w:val="0"/>
        <w:kinsoku/>
        <w:wordWrap/>
        <w:overflowPunct/>
        <w:topLinePunct w:val="0"/>
        <w:bidi w:val="0"/>
        <w:snapToGrid/>
        <w:spacing w:line="240" w:lineRule="auto"/>
        <w:ind w:firstLine="420" w:firstLineChars="200"/>
        <w:jc w:val="center"/>
        <w:textAlignment w:val="auto"/>
        <w:rPr>
          <w:rFonts w:ascii="Times New Roman" w:hAnsi="Times New Roman"/>
        </w:rPr>
      </w:pPr>
      <w:r>
        <w:rPr>
          <w:rFonts w:ascii="Times New Roman" w:hAnsi="Times New Roman"/>
        </w:rPr>
        <w:t xml:space="preserve"> </w:t>
      </w:r>
      <m:oMath>
        <m:sSub>
          <m:sSubPr>
            <m:ctrlPr>
              <w:rPr>
                <w:rFonts w:ascii="Cambria Math" w:hAnsi="Cambria Math"/>
                <w:i/>
              </w:rPr>
            </m:ctrlPr>
          </m:sSubPr>
          <m:e>
            <m:r>
              <m:rPr/>
              <w:rPr>
                <w:rFonts w:ascii="Cambria Math" w:hAnsi="Cambria Math"/>
              </w:rPr>
              <m:t>CD</m:t>
            </m:r>
            <m:ctrlPr>
              <w:rPr>
                <w:rFonts w:ascii="Cambria Math" w:hAnsi="Cambria Math"/>
                <w:i/>
              </w:rPr>
            </m:ctrlPr>
          </m:e>
          <m:sub>
            <m:r>
              <m:rPr/>
              <w:rPr>
                <w:rFonts w:ascii="Cambria Math" w:hAnsi="Cambria Math"/>
              </w:rPr>
              <m:t>ma</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num>
          <m:den>
            <m:r>
              <m:rPr/>
              <w:rPr>
                <w:rFonts w:ascii="Cambria Math" w:hAnsi="Cambria Math"/>
              </w:rPr>
              <m:t>S</m:t>
            </m:r>
            <m:ctrlPr>
              <w:rPr>
                <w:rFonts w:ascii="Cambria Math" w:hAnsi="Cambria Math"/>
                <w:i/>
              </w:rPr>
            </m:ctrlPr>
          </m:den>
        </m:f>
        <m:r>
          <m:rPr/>
          <w:rPr>
            <w:rFonts w:ascii="Cambria Math" w:hAnsi="Cambria Math"/>
          </w:rPr>
          <m:t>×</m:t>
        </m:r>
        <m:sSub>
          <m:sSubPr>
            <m:ctrlPr>
              <w:rPr>
                <w:rFonts w:ascii="Cambria Math" w:hAnsi="Cambria Math"/>
                <w:i/>
              </w:rPr>
            </m:ctrlPr>
          </m:sSubPr>
          <m:e>
            <m:r>
              <m:rPr/>
              <w:rPr>
                <w:rFonts w:ascii="Cambria Math" w:hAnsi="Cambria Math"/>
              </w:rPr>
              <m:t>CF</m:t>
            </m:r>
            <m:ctrlPr>
              <w:rPr>
                <w:rFonts w:ascii="Cambria Math" w:hAnsi="Cambria Math"/>
                <w:i/>
              </w:rPr>
            </m:ctrlPr>
          </m:e>
          <m:sub>
            <m:r>
              <m:rPr/>
              <w:rPr>
                <w:rFonts w:ascii="Cambria Math" w:hAnsi="Cambria Math"/>
              </w:rPr>
              <m:t>a</m:t>
            </m:r>
            <m:ctrlPr>
              <w:rPr>
                <w:rFonts w:ascii="Cambria Math" w:hAnsi="Cambria Math"/>
                <w:i/>
              </w:rPr>
            </m:ctrlPr>
          </m:sub>
        </m:sSub>
      </m:oMath>
      <w:r>
        <w:rPr>
          <w:rFonts w:ascii="Times New Roman" w:hAnsi="Times New Roman" w:eastAsia="Cambria Math"/>
          <w:spacing w:val="10"/>
          <w:position w:val="1"/>
        </w:rPr>
        <w:t xml:space="preserve"> </w:t>
      </w:r>
      <w:r>
        <w:rPr>
          <w:rFonts w:ascii="Times New Roman" w:hAnsi="Times New Roman"/>
          <w:spacing w:val="10"/>
          <w:position w:val="1"/>
        </w:rPr>
        <w:t xml:space="preserve">    ………………………</w:t>
      </w:r>
      <w:r>
        <w:rPr>
          <w:rFonts w:ascii="Times New Roman" w:hAnsi="Times New Roman"/>
          <w:spacing w:val="9"/>
          <w:position w:val="1"/>
        </w:rPr>
        <w:t>……………(3)</w:t>
      </w:r>
    </w:p>
    <w:p w14:paraId="540C2352">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rPr>
        <w:t>式中：</w:t>
      </w:r>
    </w:p>
    <w:p w14:paraId="70B3D66E">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hint="default" w:ascii="Times New Roman" w:hAnsi="Times New Roman" w:eastAsia="Times New Roman" w:cs="Times New Roman"/>
          <w:i/>
          <w:iCs/>
          <w:spacing w:val="1"/>
          <w:szCs w:val="21"/>
        </w:rPr>
        <w:t>CD</w:t>
      </w:r>
      <w:r>
        <w:rPr>
          <w:rFonts w:ascii="Times New Roman"/>
          <w:vertAlign w:val="subscript"/>
        </w:rPr>
        <w:t>ma</w:t>
      </w:r>
      <w:r>
        <w:rPr>
          <w:rFonts w:ascii="Times New Roman"/>
        </w:rPr>
        <w:t>——林分碳密度，</w:t>
      </w:r>
      <w:r>
        <w:rPr>
          <w:rFonts w:ascii="Times New Roman" w:hAnsi="Times New Roman"/>
        </w:rPr>
        <w:t>即单位面积林分碳储量估计值，</w:t>
      </w:r>
      <w:r>
        <w:rPr>
          <w:rFonts w:ascii="Times New Roman"/>
        </w:rPr>
        <w:t>单位为</w:t>
      </w:r>
      <w:r>
        <w:rPr>
          <w:rFonts w:hint="eastAsia" w:ascii="Times New Roman"/>
          <w:lang w:eastAsia="zh-CN"/>
        </w:rPr>
        <w:t>千克</w:t>
      </w:r>
      <w:r>
        <w:rPr>
          <w:rFonts w:ascii="Times New Roman"/>
        </w:rPr>
        <w:t>/</w:t>
      </w:r>
      <w:r>
        <w:rPr>
          <w:rFonts w:hint="eastAsia" w:ascii="Times New Roman"/>
          <w:lang w:eastAsia="zh-CN"/>
        </w:rPr>
        <w:t>平方米</w:t>
      </w:r>
      <w:r>
        <w:rPr>
          <w:rFonts w:ascii="Times New Roman"/>
        </w:rPr>
        <w:t>（kg/m</w:t>
      </w:r>
      <w:r>
        <w:rPr>
          <w:rFonts w:ascii="Times New Roman"/>
          <w:vertAlign w:val="superscript"/>
        </w:rPr>
        <w:t>2</w:t>
      </w:r>
      <w:r>
        <w:rPr>
          <w:rFonts w:ascii="Times New Roman"/>
        </w:rPr>
        <w:t>）；</w:t>
      </w:r>
    </w:p>
    <w:p w14:paraId="3E362B67">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hint="eastAsia" w:ascii="Times New Roman"/>
          <w:i/>
          <w:iCs/>
          <w:lang w:val="en-US" w:eastAsia="zh-CN"/>
        </w:rPr>
        <w:t>B</w:t>
      </w:r>
      <w:r>
        <w:rPr>
          <w:rFonts w:ascii="Times New Roman"/>
          <w:i/>
          <w:iCs/>
        </w:rPr>
        <w:t xml:space="preserve"> </w:t>
      </w:r>
      <w:r>
        <w:rPr>
          <w:rFonts w:hint="eastAsia" w:ascii="Times New Roman"/>
          <w:i/>
          <w:iCs/>
          <w:vertAlign w:val="subscript"/>
          <w:lang w:val="en-US" w:eastAsia="zh-CN"/>
        </w:rPr>
        <w:t>a</w:t>
      </w:r>
      <w:r>
        <w:rPr>
          <w:rFonts w:ascii="Times New Roman"/>
        </w:rPr>
        <w:t>——样地生物量，</w:t>
      </w:r>
      <w:r>
        <w:rPr>
          <w:rFonts w:hint="eastAsia" w:ascii="Times New Roman"/>
          <w:lang w:val="en-US" w:eastAsia="zh-CN"/>
        </w:rPr>
        <w:t>即</w:t>
      </w:r>
      <w:r>
        <w:rPr>
          <w:rFonts w:ascii="Times New Roman"/>
        </w:rPr>
        <w:t>样地内白桦立木生物量加和，单位为千克（kg）；</w:t>
      </w:r>
    </w:p>
    <w:p w14:paraId="3F2BE88F">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hint="default" w:ascii="Times New Roman" w:hAnsi="Times New Roman" w:eastAsia="Times New Roman" w:cs="Times New Roman"/>
          <w:i/>
          <w:iCs/>
          <w:spacing w:val="1"/>
          <w:szCs w:val="21"/>
        </w:rPr>
        <w:t>CF</w:t>
      </w:r>
      <w:r>
        <w:rPr>
          <w:rFonts w:ascii="Times New Roman"/>
          <w:vertAlign w:val="subscript"/>
        </w:rPr>
        <w:t>a</w:t>
      </w:r>
      <w:r>
        <w:rPr>
          <w:rFonts w:ascii="Times New Roman"/>
        </w:rPr>
        <w:t>——各器官含碳系数；</w:t>
      </w:r>
    </w:p>
    <w:p w14:paraId="3FB4A82F">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hint="default" w:ascii="Times New Roman" w:hAnsi="Times New Roman" w:eastAsia="Times New Roman" w:cs="Times New Roman"/>
          <w:i/>
          <w:iCs/>
          <w:spacing w:val="1"/>
          <w:szCs w:val="21"/>
        </w:rPr>
        <w:t>S</w:t>
      </w:r>
      <w:r>
        <w:rPr>
          <w:rFonts w:ascii="Times New Roman"/>
        </w:rPr>
        <w:t>——样地面积，单位为</w:t>
      </w:r>
      <w:r>
        <w:rPr>
          <w:rFonts w:hint="eastAsia" w:ascii="Times New Roman"/>
          <w:lang w:eastAsia="zh-CN"/>
        </w:rPr>
        <w:t>平方米</w:t>
      </w:r>
      <w:r>
        <w:rPr>
          <w:rFonts w:ascii="Times New Roman"/>
        </w:rPr>
        <w:t>（m</w:t>
      </w:r>
      <w:r>
        <w:rPr>
          <w:rFonts w:ascii="Times New Roman"/>
          <w:vertAlign w:val="superscript"/>
        </w:rPr>
        <w:t>2</w:t>
      </w:r>
      <w:r>
        <w:rPr>
          <w:rFonts w:hint="eastAsia" w:ascii="Times New Roman"/>
          <w:vertAlign w:val="baseline"/>
          <w:lang w:eastAsia="zh-CN"/>
        </w:rPr>
        <w:t>）</w:t>
      </w:r>
      <w:r>
        <w:rPr>
          <w:rFonts w:ascii="Times New Roman"/>
        </w:rPr>
        <w:t>。</w:t>
      </w:r>
    </w:p>
    <w:p w14:paraId="37C361CC">
      <w:pPr>
        <w:pStyle w:val="65"/>
        <w:spacing w:before="120" w:after="120"/>
        <w:rPr>
          <w:rFonts w:ascii="Times New Roman"/>
        </w:rPr>
      </w:pPr>
      <w:bookmarkStart w:id="56" w:name="_Toc236295469"/>
      <w:r>
        <w:rPr>
          <w:rFonts w:ascii="Times New Roman"/>
        </w:rPr>
        <w:t>基于林分断面积和平均高的碳密度计算方法</w:t>
      </w:r>
      <w:bookmarkEnd w:id="56"/>
    </w:p>
    <w:p w14:paraId="6138996E">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rPr>
        <w:t>利用标准地或森林资源小班调查数据中的林分调查因子（林分断面积和平均高）计算林分碳密度。计算公式如下：</w:t>
      </w:r>
    </w:p>
    <w:p w14:paraId="30CC6D7F">
      <w:pPr>
        <w:pStyle w:val="232"/>
        <w:keepNext w:val="0"/>
        <w:keepLines w:val="0"/>
        <w:pageBreakBefore w:val="0"/>
        <w:kinsoku/>
        <w:wordWrap/>
        <w:overflowPunct/>
        <w:topLinePunct w:val="0"/>
        <w:bidi w:val="0"/>
        <w:snapToGrid/>
        <w:spacing w:line="240" w:lineRule="auto"/>
        <w:ind w:firstLine="420"/>
        <w:jc w:val="center"/>
        <w:textAlignment w:val="auto"/>
        <w:rPr>
          <w:rFonts w:ascii="Times New Roman" w:hAnsi="Times New Roman" w:cs="Times New Roman"/>
        </w:rPr>
      </w:pPr>
      <w:r>
        <w:rPr>
          <w:rFonts w:ascii="Times New Roman" w:hAnsi="Times New Roman" w:cs="Times New Roman"/>
        </w:rPr>
        <w:tab/>
      </w:r>
      <m:oMath>
        <m:sSub>
          <m:sSubPr>
            <m:ctrlPr>
              <w:rPr>
                <w:rFonts w:ascii="Cambria Math" w:hAnsi="Cambria Math" w:cs="Times New Roman"/>
                <w:i/>
              </w:rPr>
            </m:ctrlPr>
          </m:sSubPr>
          <m:e>
            <m:r>
              <m:rPr>
                <m:nor/>
              </m:rPr>
              <w:rPr>
                <w:rFonts w:ascii="Times New Roman" w:hAnsi="Times New Roman" w:cs="Times New Roman"/>
                <w:i/>
              </w:rPr>
              <m:t>C</m:t>
            </m:r>
            <m:ctrlPr>
              <w:rPr>
                <w:rFonts w:ascii="Cambria Math" w:hAnsi="Cambria Math" w:cs="Times New Roman"/>
                <w:i/>
              </w:rPr>
            </m:ctrlPr>
          </m:e>
          <m:sub>
            <m:r>
              <m:rPr>
                <m:nor/>
              </m:rPr>
              <w:rPr>
                <w:rFonts w:ascii="Times New Roman" w:hAnsi="Times New Roman" w:cs="Times New Roman"/>
                <w:i/>
              </w:rPr>
              <m:t>q</m:t>
            </m:r>
            <m:ctrlPr>
              <w:rPr>
                <w:rFonts w:ascii="Cambria Math" w:hAnsi="Cambria Math" w:cs="Times New Roman"/>
                <w:i/>
              </w:rPr>
            </m:ctrlPr>
          </m:sub>
        </m:sSub>
        <m:r>
          <m:rPr>
            <m:nor/>
            <m:sty m:val="p"/>
          </m:rPr>
          <w:rPr>
            <w:rFonts w:ascii="Times New Roman" w:hAnsi="Times New Roman" w:cs="Times New Roman"/>
          </w:rPr>
          <m:t>=</m:t>
        </m:r>
        <m:r>
          <m:rPr>
            <m:nor/>
          </m:rPr>
          <w:rPr>
            <w:rFonts w:ascii="Times New Roman" w:hAnsi="Times New Roman" w:cs="Times New Roman"/>
            <w:i/>
          </w:rPr>
          <m:t>a</m:t>
        </m:r>
        <m:r>
          <m:rPr>
            <m:nor/>
            <m:sty m:val="p"/>
          </m:rPr>
          <w:rPr>
            <w:rFonts w:ascii="Times New Roman" w:hAnsi="Times New Roman" w:cs="Times New Roman"/>
          </w:rPr>
          <m:t>∙</m:t>
        </m:r>
        <m:sSup>
          <m:sSupPr>
            <m:ctrlPr>
              <w:rPr>
                <w:rFonts w:ascii="Cambria Math" w:hAnsi="Cambria Math" w:cs="Times New Roman"/>
                <w:i/>
              </w:rPr>
            </m:ctrlPr>
          </m:sSupPr>
          <m:e>
            <m:r>
              <m:rPr>
                <m:nor/>
              </m:rPr>
              <w:rPr>
                <w:rFonts w:ascii="Times New Roman" w:hAnsi="Times New Roman" w:cs="Times New Roman"/>
                <w:i/>
              </w:rPr>
              <m:t>G</m:t>
            </m:r>
            <m:ctrlPr>
              <w:rPr>
                <w:rFonts w:ascii="Cambria Math" w:hAnsi="Cambria Math" w:cs="Times New Roman"/>
                <w:i/>
              </w:rPr>
            </m:ctrlPr>
          </m:e>
          <m:sup>
            <m:r>
              <m:rPr>
                <m:nor/>
              </m:rPr>
              <w:rPr>
                <w:rFonts w:ascii="Times New Roman" w:hAnsi="Times New Roman" w:cs="Times New Roman"/>
                <w:i/>
              </w:rPr>
              <m:t>b</m:t>
            </m:r>
            <m:ctrlPr>
              <w:rPr>
                <w:rFonts w:ascii="Cambria Math" w:hAnsi="Cambria Math" w:cs="Times New Roman"/>
                <w:i/>
              </w:rPr>
            </m:ctrlPr>
          </m:sup>
        </m:sSup>
        <m:sSup>
          <m:sSupPr>
            <m:ctrlPr>
              <w:rPr>
                <w:rFonts w:ascii="Cambria Math" w:hAnsi="Cambria Math" w:cs="Times New Roman"/>
                <w:i/>
              </w:rPr>
            </m:ctrlPr>
          </m:sSupPr>
          <m:e>
            <m:r>
              <m:rPr>
                <m:nor/>
              </m:rPr>
              <w:rPr>
                <w:rFonts w:ascii="Times New Roman" w:hAnsi="Times New Roman" w:cs="Times New Roman"/>
                <w:i/>
              </w:rPr>
              <m:t>H</m:t>
            </m:r>
            <m:ctrlPr>
              <w:rPr>
                <w:rFonts w:ascii="Cambria Math" w:hAnsi="Cambria Math" w:cs="Times New Roman"/>
                <w:i/>
              </w:rPr>
            </m:ctrlPr>
          </m:e>
          <m:sup>
            <m:r>
              <m:rPr>
                <m:nor/>
              </m:rPr>
              <w:rPr>
                <w:rFonts w:ascii="Times New Roman" w:hAnsi="Times New Roman" w:cs="Times New Roman"/>
                <w:i/>
              </w:rPr>
              <m:t>c</m:t>
            </m:r>
            <m:ctrlPr>
              <w:rPr>
                <w:rFonts w:ascii="Cambria Math" w:hAnsi="Cambria Math" w:cs="Times New Roman"/>
                <w:i/>
              </w:rPr>
            </m:ctrlPr>
          </m:sup>
        </m:sSup>
      </m:oMath>
      <w:r>
        <w:rPr>
          <w:rFonts w:ascii="Times New Roman" w:hAnsi="Times New Roman" w:cs="Times New Roman"/>
        </w:rPr>
        <w:t xml:space="preserve"> ……………………………………(4)</w:t>
      </w:r>
    </w:p>
    <w:p w14:paraId="1EA6425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rPr>
      </w:pPr>
      <w:r>
        <w:rPr>
          <w:rFonts w:ascii="Times New Roman" w:hAnsi="Times New Roman"/>
        </w:rPr>
        <w:t>式中：</w:t>
      </w:r>
    </w:p>
    <w:p w14:paraId="6B4CC9B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rPr>
      </w:pPr>
      <m:oMath>
        <m:sSub>
          <m:sSubPr>
            <m:ctrlPr>
              <w:rPr>
                <w:rFonts w:ascii="Cambria Math" w:hAnsi="Cambria Math"/>
                <w:i/>
              </w:rPr>
            </m:ctrlPr>
          </m:sSubPr>
          <m:e>
            <m:r>
              <m:rPr>
                <m:nor/>
              </m:rPr>
              <w:rPr>
                <w:rFonts w:ascii="Times New Roman" w:hAnsi="Times New Roman"/>
                <w:i/>
              </w:rPr>
              <m:t>C</m:t>
            </m:r>
            <m:ctrlPr>
              <w:rPr>
                <w:rFonts w:ascii="Cambria Math" w:hAnsi="Cambria Math"/>
                <w:i/>
              </w:rPr>
            </m:ctrlPr>
          </m:e>
          <m:sub>
            <m:r>
              <m:rPr>
                <m:nor/>
              </m:rPr>
              <w:rPr>
                <w:rFonts w:ascii="Times New Roman" w:hAnsi="Times New Roman"/>
                <w:i/>
              </w:rPr>
              <m:t>q</m:t>
            </m:r>
            <m:ctrlPr>
              <w:rPr>
                <w:rFonts w:ascii="Cambria Math" w:hAnsi="Cambria Math"/>
                <w:i/>
              </w:rPr>
            </m:ctrlPr>
          </m:sub>
        </m:sSub>
      </m:oMath>
      <w:r>
        <w:rPr>
          <w:rFonts w:ascii="Times New Roman" w:hAnsi="Times New Roman" w:eastAsia="Times New Roman"/>
          <w:spacing w:val="8"/>
        </w:rPr>
        <w:t>——</w:t>
      </w:r>
      <w:r>
        <w:rPr>
          <w:rFonts w:ascii="Times New Roman" w:hAnsi="Times New Roman"/>
        </w:rPr>
        <w:t>林分碳密度，即单位面积林分碳储量估计值，单位为吨/公顷（t/hm</w:t>
      </w:r>
      <w:r>
        <w:rPr>
          <w:rFonts w:ascii="Times New Roman" w:hAnsi="Times New Roman"/>
          <w:vertAlign w:val="superscript"/>
        </w:rPr>
        <w:t>2</w:t>
      </w:r>
      <w:r>
        <w:rPr>
          <w:rFonts w:ascii="Times New Roman" w:hAnsi="Times New Roman"/>
        </w:rPr>
        <w:t>）；</w:t>
      </w:r>
    </w:p>
    <w:p w14:paraId="7BE278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rPr>
      </w:pPr>
      <m:oMath>
        <m:r>
          <m:rPr>
            <m:nor/>
          </m:rPr>
          <w:rPr>
            <w:rFonts w:ascii="Times New Roman" w:hAnsi="Times New Roman"/>
            <w:i/>
          </w:rPr>
          <m:t>G</m:t>
        </m:r>
      </m:oMath>
      <w:r>
        <w:rPr>
          <w:rFonts w:ascii="Times New Roman" w:hAnsi="Times New Roman" w:eastAsia="Times New Roman"/>
          <w:spacing w:val="8"/>
        </w:rPr>
        <w:t>——</w:t>
      </w:r>
      <w:r>
        <w:rPr>
          <w:rFonts w:ascii="Times New Roman" w:hAnsi="Times New Roman"/>
        </w:rPr>
        <w:t>林分每公顷断面积，单位为平方米/公顷（m</w:t>
      </w:r>
      <w:r>
        <w:rPr>
          <w:rFonts w:ascii="Times New Roman" w:hAnsi="Times New Roman"/>
          <w:vertAlign w:val="superscript"/>
        </w:rPr>
        <w:t>2</w:t>
      </w:r>
      <w:r>
        <w:rPr>
          <w:rFonts w:ascii="Times New Roman" w:hAnsi="Times New Roman"/>
        </w:rPr>
        <w:t>/hm</w:t>
      </w:r>
      <w:r>
        <w:rPr>
          <w:rFonts w:ascii="Times New Roman" w:hAnsi="Times New Roman"/>
          <w:vertAlign w:val="superscript"/>
        </w:rPr>
        <w:t>2</w:t>
      </w:r>
      <w:r>
        <w:rPr>
          <w:rFonts w:ascii="Times New Roman" w:hAnsi="Times New Roman"/>
        </w:rPr>
        <w:t>）；</w:t>
      </w:r>
    </w:p>
    <w:p w14:paraId="3A2EC6B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rPr>
      </w:pPr>
      <m:oMath>
        <m:r>
          <m:rPr>
            <m:nor/>
          </m:rPr>
          <w:rPr>
            <w:rFonts w:ascii="Times New Roman" w:hAnsi="Times New Roman"/>
            <w:i/>
          </w:rPr>
          <m:t>H</m:t>
        </m:r>
      </m:oMath>
      <w:r>
        <w:rPr>
          <w:rFonts w:ascii="Times New Roman" w:hAnsi="Times New Roman" w:eastAsia="Times New Roman"/>
          <w:spacing w:val="8"/>
        </w:rPr>
        <w:t>——</w:t>
      </w:r>
      <w:r>
        <w:rPr>
          <w:rFonts w:ascii="Times New Roman" w:hAnsi="Times New Roman"/>
        </w:rPr>
        <w:t>林分平均高，单位为米（m）；</w:t>
      </w:r>
    </w:p>
    <w:p w14:paraId="2F8A4E1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pPr>
      <m:oMath>
        <m:r>
          <m:rPr>
            <m:nor/>
          </m:rPr>
          <w:rPr>
            <w:rFonts w:ascii="Times New Roman" w:hAnsi="Times New Roman"/>
            <w:i/>
          </w:rPr>
          <m:t>a、b、c</m:t>
        </m:r>
      </m:oMath>
      <w:r>
        <w:rPr>
          <w:rFonts w:ascii="Times New Roman" w:hAnsi="Times New Roman"/>
          <w:i/>
        </w:rPr>
        <w:t>——</w:t>
      </w:r>
      <w:r>
        <w:rPr>
          <w:rFonts w:hint="eastAsia"/>
        </w:rPr>
        <w:t>模型参数，数值见表3.</w:t>
      </w:r>
      <w:bookmarkStart w:id="61" w:name="_GoBack"/>
      <w:bookmarkEnd w:id="61"/>
    </w:p>
    <w:p w14:paraId="5FBD67E8">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2665"/>
        <w:textAlignment w:val="auto"/>
        <w:rPr>
          <w:rFonts w:hint="eastAsia" w:ascii="黑体" w:hAnsi="黑体" w:eastAsia="黑体" w:cs="黑体"/>
          <w:spacing w:val="7"/>
          <w:sz w:val="20"/>
          <w:szCs w:val="20"/>
        </w:rPr>
      </w:pPr>
      <w:r>
        <w:rPr>
          <w:rFonts w:hint="eastAsia" w:ascii="黑体" w:hAnsi="黑体" w:eastAsia="黑体" w:cs="黑体"/>
          <w:spacing w:val="7"/>
          <w:sz w:val="20"/>
          <w:szCs w:val="20"/>
        </w:rPr>
        <w:t>表3</w:t>
      </w:r>
      <w:r>
        <w:rPr>
          <w:rFonts w:ascii="黑体" w:hAnsi="黑体" w:eastAsia="黑体" w:cs="黑体"/>
          <w:spacing w:val="7"/>
          <w:sz w:val="20"/>
          <w:szCs w:val="20"/>
        </w:rPr>
        <w:t xml:space="preserve"> </w:t>
      </w:r>
      <w:r>
        <w:rPr>
          <w:rFonts w:hint="eastAsia" w:ascii="黑体" w:hAnsi="黑体" w:eastAsia="黑体" w:cs="黑体"/>
          <w:spacing w:val="7"/>
          <w:sz w:val="20"/>
          <w:szCs w:val="20"/>
        </w:rPr>
        <w:t>林分碳密度模型参数估计结果</w:t>
      </w:r>
    </w:p>
    <w:tbl>
      <w:tblPr>
        <w:tblStyle w:val="230"/>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77"/>
        <w:gridCol w:w="2463"/>
        <w:gridCol w:w="2463"/>
        <w:gridCol w:w="2463"/>
      </w:tblGrid>
      <w:tr w14:paraId="03288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7" w:hRule="atLeast"/>
        </w:trPr>
        <w:tc>
          <w:tcPr>
            <w:tcW w:w="1055" w:type="pct"/>
            <w:tcBorders>
              <w:top w:val="single" w:color="000000" w:sz="10" w:space="0"/>
              <w:left w:val="single" w:color="000000" w:sz="10" w:space="0"/>
            </w:tcBorders>
          </w:tcPr>
          <w:p w14:paraId="4C54BEEB">
            <w:pPr>
              <w:spacing w:before="65" w:line="219" w:lineRule="auto"/>
              <w:ind w:left="240"/>
              <w:rPr>
                <w:rFonts w:hint="eastAsia" w:ascii="宋体" w:hAnsi="宋体" w:cs="宋体" w:eastAsiaTheme="minorEastAsia"/>
                <w:sz w:val="18"/>
                <w:szCs w:val="18"/>
              </w:rPr>
            </w:pPr>
            <w:r>
              <w:rPr>
                <w:rFonts w:ascii="宋体" w:hAnsi="宋体" w:cs="宋体" w:eastAsiaTheme="minorEastAsia"/>
                <w:spacing w:val="-5"/>
                <w:sz w:val="18"/>
                <w:szCs w:val="18"/>
              </w:rPr>
              <w:t>参数</w:t>
            </w:r>
          </w:p>
        </w:tc>
        <w:tc>
          <w:tcPr>
            <w:tcW w:w="1314" w:type="pct"/>
            <w:tcBorders>
              <w:top w:val="single" w:color="000000" w:sz="10" w:space="0"/>
            </w:tcBorders>
            <w:vAlign w:val="center"/>
          </w:tcPr>
          <w:p w14:paraId="6DAECC2E">
            <w:pPr>
              <w:pStyle w:val="178"/>
              <w:ind w:firstLine="0" w:firstLineChars="0"/>
              <w:rPr>
                <w:rFonts w:cs="Arial"/>
                <w:sz w:val="11"/>
                <w:szCs w:val="11"/>
              </w:rPr>
            </w:pPr>
            <w:r>
              <w:rPr>
                <w:rFonts w:hint="default" w:ascii="Times New Roman" w:hAnsi="Times New Roman" w:eastAsia="Times New Roman" w:cs="Times New Roman"/>
                <w:i/>
                <w:iCs/>
                <w:spacing w:val="1"/>
                <w:sz w:val="21"/>
                <w:szCs w:val="21"/>
                <w:lang w:val="en-US" w:eastAsia="zh-CN" w:bidi="ar-SA"/>
              </w:rPr>
              <w:t>a</w:t>
            </w:r>
          </w:p>
        </w:tc>
        <w:tc>
          <w:tcPr>
            <w:tcW w:w="1314" w:type="pct"/>
            <w:tcBorders>
              <w:top w:val="single" w:color="000000" w:sz="10" w:space="0"/>
            </w:tcBorders>
            <w:vAlign w:val="center"/>
          </w:tcPr>
          <w:p w14:paraId="5505D972">
            <w:pPr>
              <w:pStyle w:val="178"/>
              <w:ind w:firstLine="0" w:firstLineChars="0"/>
              <w:rPr>
                <w:rFonts w:cs="Arial"/>
                <w:sz w:val="11"/>
                <w:szCs w:val="11"/>
              </w:rPr>
            </w:pPr>
            <w:r>
              <w:rPr>
                <w:rFonts w:hint="default" w:ascii="Times New Roman" w:hAnsi="Times New Roman" w:eastAsia="Times New Roman" w:cs="Times New Roman"/>
                <w:i/>
                <w:iCs/>
                <w:spacing w:val="1"/>
                <w:sz w:val="21"/>
                <w:szCs w:val="21"/>
                <w:lang w:val="en-US" w:eastAsia="zh-CN" w:bidi="ar-SA"/>
              </w:rPr>
              <w:t>b</w:t>
            </w:r>
          </w:p>
        </w:tc>
        <w:tc>
          <w:tcPr>
            <w:tcW w:w="1314" w:type="pct"/>
            <w:tcBorders>
              <w:top w:val="single" w:color="000000" w:sz="10" w:space="0"/>
            </w:tcBorders>
            <w:vAlign w:val="center"/>
          </w:tcPr>
          <w:p w14:paraId="730ECD2F">
            <w:pPr>
              <w:pStyle w:val="178"/>
              <w:ind w:firstLine="0" w:firstLineChars="0"/>
              <w:rPr>
                <w:rFonts w:cs="Arial"/>
                <w:sz w:val="11"/>
                <w:szCs w:val="11"/>
              </w:rPr>
            </w:pPr>
            <w:r>
              <w:rPr>
                <w:rFonts w:hint="default" w:ascii="Times New Roman" w:hAnsi="Times New Roman" w:eastAsia="Times New Roman" w:cs="Times New Roman"/>
                <w:i/>
                <w:iCs/>
                <w:spacing w:val="1"/>
                <w:sz w:val="21"/>
                <w:szCs w:val="21"/>
                <w:lang w:val="en-US" w:eastAsia="zh-CN" w:bidi="ar-SA"/>
              </w:rPr>
              <w:t>c</w:t>
            </w:r>
          </w:p>
        </w:tc>
      </w:tr>
      <w:tr w14:paraId="675B3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55" w:type="pct"/>
            <w:tcBorders>
              <w:left w:val="single" w:color="000000" w:sz="10" w:space="0"/>
              <w:bottom w:val="single" w:color="000000" w:sz="10" w:space="0"/>
            </w:tcBorders>
          </w:tcPr>
          <w:p w14:paraId="525FF062">
            <w:pPr>
              <w:spacing w:before="72" w:line="219" w:lineRule="auto"/>
              <w:ind w:left="153"/>
              <w:rPr>
                <w:rFonts w:hint="eastAsia" w:ascii="宋体" w:hAnsi="宋体" w:cs="宋体" w:eastAsiaTheme="minorEastAsia"/>
                <w:sz w:val="18"/>
                <w:szCs w:val="18"/>
              </w:rPr>
            </w:pPr>
            <w:r>
              <w:rPr>
                <w:rFonts w:ascii="宋体" w:hAnsi="宋体" w:cs="宋体" w:eastAsiaTheme="minorEastAsia"/>
                <w:spacing w:val="-4"/>
                <w:sz w:val="18"/>
                <w:szCs w:val="18"/>
              </w:rPr>
              <w:t>系数值</w:t>
            </w:r>
          </w:p>
        </w:tc>
        <w:tc>
          <w:tcPr>
            <w:tcW w:w="1314" w:type="pct"/>
            <w:tcBorders>
              <w:bottom w:val="single" w:color="000000" w:sz="10" w:space="0"/>
            </w:tcBorders>
            <w:vAlign w:val="center"/>
          </w:tcPr>
          <w:p w14:paraId="7602096A">
            <w:pPr>
              <w:pStyle w:val="178"/>
              <w:ind w:firstLine="0" w:firstLineChars="0"/>
              <w:rPr>
                <w:rFonts w:cs="Arial"/>
              </w:rPr>
            </w:pPr>
            <w:r>
              <w:rPr>
                <w:rFonts w:ascii="Times New Roman"/>
              </w:rPr>
              <w:t>1.0822</w:t>
            </w:r>
          </w:p>
        </w:tc>
        <w:tc>
          <w:tcPr>
            <w:tcW w:w="1314" w:type="pct"/>
            <w:tcBorders>
              <w:bottom w:val="single" w:color="000000" w:sz="10" w:space="0"/>
            </w:tcBorders>
            <w:vAlign w:val="center"/>
          </w:tcPr>
          <w:p w14:paraId="2D5D4642">
            <w:pPr>
              <w:pStyle w:val="178"/>
              <w:ind w:firstLine="0" w:firstLineChars="0"/>
              <w:rPr>
                <w:rFonts w:cs="Arial"/>
              </w:rPr>
            </w:pPr>
            <w:r>
              <w:rPr>
                <w:rFonts w:ascii="Times New Roman"/>
              </w:rPr>
              <w:t>1.0863</w:t>
            </w:r>
          </w:p>
        </w:tc>
        <w:tc>
          <w:tcPr>
            <w:tcW w:w="1314" w:type="pct"/>
            <w:tcBorders>
              <w:bottom w:val="single" w:color="000000" w:sz="10" w:space="0"/>
            </w:tcBorders>
            <w:vAlign w:val="center"/>
          </w:tcPr>
          <w:p w14:paraId="727187D9">
            <w:pPr>
              <w:pStyle w:val="178"/>
              <w:ind w:firstLine="0" w:firstLineChars="0"/>
              <w:rPr>
                <w:rFonts w:cs="Arial"/>
              </w:rPr>
            </w:pPr>
            <w:r>
              <w:rPr>
                <w:rFonts w:ascii="Times New Roman"/>
              </w:rPr>
              <w:t>0.2729</w:t>
            </w:r>
          </w:p>
        </w:tc>
      </w:tr>
    </w:tbl>
    <w:p w14:paraId="2662C5ED">
      <w:pPr>
        <w:pStyle w:val="105"/>
        <w:keepNext w:val="0"/>
        <w:keepLines w:val="0"/>
        <w:pageBreakBefore w:val="0"/>
        <w:kinsoku/>
        <w:wordWrap/>
        <w:overflowPunct/>
        <w:topLinePunct w:val="0"/>
        <w:bidi w:val="0"/>
        <w:snapToGrid/>
        <w:spacing w:before="120" w:after="120"/>
        <w:textAlignment w:val="auto"/>
      </w:pPr>
      <w:bookmarkStart w:id="57" w:name="_Toc236295470"/>
      <w:r>
        <w:rPr>
          <w:rFonts w:hint="eastAsia"/>
        </w:rPr>
        <w:t>林分碳储量估算方法</w:t>
      </w:r>
      <w:bookmarkEnd w:id="57"/>
    </w:p>
    <w:p w14:paraId="7E0FF2E1">
      <w:pPr>
        <w:pStyle w:val="56"/>
        <w:keepNext w:val="0"/>
        <w:keepLines w:val="0"/>
        <w:pageBreakBefore w:val="0"/>
        <w:kinsoku/>
        <w:wordWrap/>
        <w:overflowPunct/>
        <w:topLinePunct w:val="0"/>
        <w:bidi w:val="0"/>
        <w:snapToGrid/>
        <w:spacing w:line="240" w:lineRule="auto"/>
        <w:ind w:firstLine="420"/>
        <w:textAlignment w:val="auto"/>
      </w:pPr>
      <w:r>
        <w:rPr>
          <w:rFonts w:hint="eastAsia"/>
        </w:rPr>
        <w:t>白桦林分碳储量根据林分碳密度与林分面积计算。计算公式如下：</w:t>
      </w:r>
    </w:p>
    <w:p w14:paraId="64E45A11">
      <w:pPr>
        <w:keepNext w:val="0"/>
        <w:keepLines w:val="0"/>
        <w:pageBreakBefore w:val="0"/>
        <w:kinsoku/>
        <w:wordWrap/>
        <w:overflowPunct/>
        <w:topLinePunct w:val="0"/>
        <w:bidi w:val="0"/>
        <w:snapToGrid/>
        <w:spacing w:line="240" w:lineRule="auto"/>
        <w:ind w:firstLine="420" w:firstLineChars="200"/>
        <w:jc w:val="center"/>
        <w:textAlignment w:val="auto"/>
        <w:rPr>
          <w:rFonts w:hAnsi="Cambria Math"/>
        </w:rPr>
      </w:pPr>
      <m:oMath>
        <m:sSub>
          <m:sSubPr>
            <m:ctrlPr>
              <w:rPr>
                <w:rFonts w:ascii="Cambria Math" w:hAnsi="Cambria Math"/>
                <w:i/>
              </w:rPr>
            </m:ctrlPr>
          </m:sSubPr>
          <m:e>
            <m:sSub>
              <m:sSubPr>
                <m:ctrlPr>
                  <w:rPr>
                    <w:rFonts w:ascii="Cambria Math" w:hAnsi="Cambria Math"/>
                    <w:i/>
                  </w:rPr>
                </m:ctrlPr>
              </m:sSubPr>
              <m:e>
                <m:r>
                  <m:rPr/>
                  <w:rPr>
                    <w:rFonts w:ascii="Times New Roman" w:hAnsi="Times New Roman"/>
                  </w:rPr>
                  <m:t>C</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spacing w:val="17"/>
                <w:w w:val="103"/>
                <w:position w:val="-1"/>
              </w:rPr>
              <m:t>=</m:t>
            </m:r>
            <m:r>
              <m:rPr>
                <m:nor/>
              </m:rPr>
              <w:rPr>
                <w:rFonts w:ascii="Times New Roman" w:hAnsi="Times New Roman"/>
                <w:i/>
              </w:rPr>
              <m:t>C</m:t>
            </m:r>
            <m:ctrlPr>
              <w:rPr>
                <w:rFonts w:ascii="Cambria Math" w:hAnsi="Cambria Math"/>
                <w:i/>
              </w:rPr>
            </m:ctrlPr>
          </m:e>
          <m:sub>
            <m:r>
              <m:rPr>
                <m:nor/>
              </m:rPr>
              <w:rPr>
                <w:rFonts w:ascii="Times New Roman" w:hAnsi="Times New Roman"/>
                <w:i/>
              </w:rPr>
              <m:t>q</m:t>
            </m:r>
            <m:ctrlPr>
              <w:rPr>
                <w:rFonts w:ascii="Cambria Math" w:hAnsi="Cambria Math"/>
                <w:i/>
              </w:rPr>
            </m:ctrlPr>
          </m:sub>
        </m:sSub>
        <m:r>
          <m:rPr/>
          <w:rPr>
            <w:rFonts w:ascii="Cambria Math" w:hAnsi="Cambria Math" w:cs="Cambria Math"/>
          </w:rPr>
          <m:t>×</m:t>
        </m:r>
        <m:r>
          <m:rPr/>
          <w:rPr>
            <w:rFonts w:ascii="Cambria Math" w:hAnsi="Cambria Math"/>
          </w:rPr>
          <m:t>S</m:t>
        </m:r>
      </m:oMath>
      <w:r>
        <w:rPr>
          <w:rFonts w:hint="eastAsia" w:hAnsi="Cambria Math"/>
        </w:rPr>
        <w:t xml:space="preserve"> </w:t>
      </w:r>
      <w:r>
        <w:t>……………………………………</w:t>
      </w:r>
      <w:r>
        <w:rPr>
          <w:rFonts w:hint="eastAsia" w:hAnsi="Cambria Math"/>
        </w:rPr>
        <w:t xml:space="preserve"> </w:t>
      </w:r>
      <w:r>
        <w:rPr>
          <w:rFonts w:hint="eastAsia"/>
        </w:rPr>
        <w:t>（5）</w:t>
      </w:r>
    </w:p>
    <w:p w14:paraId="75455E1D">
      <w:pPr>
        <w:keepNext w:val="0"/>
        <w:keepLines w:val="0"/>
        <w:pageBreakBefore w:val="0"/>
        <w:kinsoku/>
        <w:wordWrap/>
        <w:overflowPunct/>
        <w:topLinePunct w:val="0"/>
        <w:bidi w:val="0"/>
        <w:snapToGrid/>
        <w:spacing w:line="240" w:lineRule="auto"/>
        <w:ind w:firstLine="420" w:firstLineChars="200"/>
        <w:textAlignment w:val="auto"/>
        <w:rPr>
          <w:rFonts w:ascii="Times New Roman"/>
          <w:i/>
          <w:iCs/>
        </w:rPr>
      </w:pPr>
      <w:r>
        <w:rPr>
          <w:rFonts w:ascii="Times New Roman" w:hAnsi="Times New Roman"/>
        </w:rPr>
        <w:t>式中：</w:t>
      </w:r>
    </w:p>
    <w:p w14:paraId="376B98EB">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i/>
          <w:iCs/>
        </w:rPr>
        <w:t>C</w:t>
      </w:r>
      <w:r>
        <w:rPr>
          <w:rFonts w:ascii="Times New Roman"/>
          <w:vertAlign w:val="subscript"/>
        </w:rPr>
        <w:t>t</w:t>
      </w:r>
      <w:r>
        <w:rPr>
          <w:rFonts w:ascii="Times New Roman"/>
        </w:rPr>
        <w:t>——林分碳储量，单位为吨（t）；</w:t>
      </w:r>
    </w:p>
    <w:p w14:paraId="35D64072">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i/>
          <w:iCs/>
        </w:rPr>
        <w:t>C</w:t>
      </w:r>
      <w:r>
        <w:rPr>
          <w:rFonts w:ascii="Times New Roman"/>
          <w:vertAlign w:val="subscript"/>
        </w:rPr>
        <w:t>q</w:t>
      </w:r>
      <w:r>
        <w:rPr>
          <w:rFonts w:ascii="Times New Roman"/>
        </w:rPr>
        <w:t>——林分碳密度，即单位面积林分碳储量估计值，单位为吨/公顷（t/hm</w:t>
      </w:r>
      <w:r>
        <w:rPr>
          <w:rFonts w:ascii="Times New Roman"/>
          <w:vertAlign w:val="superscript"/>
        </w:rPr>
        <w:t>2</w:t>
      </w:r>
      <w:r>
        <w:rPr>
          <w:rFonts w:ascii="Times New Roman"/>
        </w:rPr>
        <w:t>）；</w:t>
      </w:r>
    </w:p>
    <w:p w14:paraId="77C0FD3F">
      <w:pPr>
        <w:pStyle w:val="56"/>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i/>
          <w:iCs/>
        </w:rPr>
        <w:t>S</w:t>
      </w:r>
      <w:r>
        <w:rPr>
          <w:rFonts w:ascii="Times New Roman"/>
        </w:rPr>
        <w:t>——林分面积，单位为公顷（hm</w:t>
      </w:r>
      <w:r>
        <w:rPr>
          <w:rFonts w:ascii="Times New Roman"/>
          <w:vertAlign w:val="superscript"/>
        </w:rPr>
        <w:t>2</w:t>
      </w:r>
      <w:r>
        <w:rPr>
          <w:rFonts w:ascii="Times New Roman"/>
        </w:rPr>
        <w:t>）。</w:t>
      </w:r>
    </w:p>
    <w:p w14:paraId="271B439B">
      <w:pPr>
        <w:pStyle w:val="104"/>
        <w:keepNext w:val="0"/>
        <w:keepLines w:val="0"/>
        <w:pageBreakBefore w:val="0"/>
        <w:kinsoku/>
        <w:wordWrap/>
        <w:overflowPunct/>
        <w:topLinePunct w:val="0"/>
        <w:bidi w:val="0"/>
        <w:snapToGrid/>
        <w:spacing w:before="240" w:after="240"/>
        <w:textAlignment w:val="auto"/>
      </w:pPr>
      <w:bookmarkStart w:id="58" w:name="_Toc236295471"/>
      <w:r>
        <w:rPr>
          <w:rFonts w:hint="eastAsia"/>
        </w:rPr>
        <w:t>应用</w:t>
      </w:r>
      <w:bookmarkEnd w:id="58"/>
    </w:p>
    <w:p w14:paraId="006F8922">
      <w:pPr>
        <w:keepNext w:val="0"/>
        <w:keepLines w:val="0"/>
        <w:pageBreakBefore w:val="0"/>
        <w:widowControl w:val="0"/>
        <w:tabs>
          <w:tab w:val="left" w:pos="669"/>
        </w:tabs>
        <w:kinsoku/>
        <w:wordWrap/>
        <w:overflowPunct/>
        <w:topLinePunct w:val="0"/>
        <w:autoSpaceDE/>
        <w:autoSpaceDN/>
        <w:bidi w:val="0"/>
        <w:adjustRightInd w:val="0"/>
        <w:snapToGrid/>
        <w:spacing w:line="240" w:lineRule="auto"/>
        <w:textAlignment w:val="auto"/>
        <w:rPr>
          <w:rFonts w:ascii="Times New Roman" w:hAnsi="Times New Roman"/>
        </w:rPr>
      </w:pPr>
      <w:r>
        <w:rPr>
          <w:rFonts w:ascii="Times New Roman" w:hAnsi="Times New Roman"/>
        </w:rPr>
        <w:tab/>
      </w:r>
      <w:r>
        <w:rPr>
          <w:rFonts w:ascii="Times New Roman" w:hAnsi="Times New Roman"/>
        </w:rPr>
        <w:t>如已获得林分调查因子（</w:t>
      </w:r>
      <w:r>
        <w:rPr>
          <w:rFonts w:hint="default" w:ascii="Times New Roman" w:hAnsi="Times New Roman" w:eastAsia="Times New Roman" w:cs="Times New Roman"/>
          <w:i/>
          <w:iCs/>
          <w:spacing w:val="1"/>
          <w:kern w:val="0"/>
          <w:sz w:val="21"/>
          <w:szCs w:val="21"/>
          <w:lang w:val="en-US" w:eastAsia="zh-CN" w:bidi="ar-SA"/>
        </w:rPr>
        <w:t>G</w:t>
      </w:r>
      <w:r>
        <w:rPr>
          <w:rFonts w:ascii="Times New Roman" w:hAnsi="Times New Roman"/>
        </w:rPr>
        <w:t>和</w:t>
      </w:r>
      <w:r>
        <w:rPr>
          <w:position w:val="-4"/>
        </w:rPr>
        <w:object>
          <v:shape id="_x0000_i1026" o:spt="75" type="#_x0000_t75" style="height:15.2pt;width:14.2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5" r:id="rId16">
            <o:LockedField>false</o:LockedField>
          </o:OLEObject>
        </w:object>
      </w:r>
      <w:r>
        <w:rPr>
          <w:rFonts w:ascii="Times New Roman" w:hAnsi="Times New Roman"/>
        </w:rPr>
        <w:t>），采用基于林分断面积和平均高的碳储量计算方法进行碳储量估算；如未获得以上指标，应进行标准地设置（一个林分至少3块0.06 hm</w:t>
      </w:r>
      <w:r>
        <w:rPr>
          <w:rFonts w:ascii="Times New Roman" w:hAnsi="Times New Roman"/>
          <w:vertAlign w:val="superscript"/>
        </w:rPr>
        <w:t>2</w:t>
      </w:r>
      <w:r>
        <w:rPr>
          <w:rFonts w:ascii="Times New Roman" w:hAnsi="Times New Roman"/>
        </w:rPr>
        <w:t>的标准地），采用基于标准地的碳储量计算方法估算碳储量。</w:t>
      </w:r>
    </w:p>
    <w:p w14:paraId="0887F1EA">
      <w:pPr>
        <w:pStyle w:val="104"/>
        <w:spacing w:before="240" w:after="240"/>
      </w:pPr>
      <w:bookmarkStart w:id="59" w:name="_Toc236295472"/>
      <w:r>
        <w:rPr>
          <w:rFonts w:hint="eastAsia"/>
        </w:rPr>
        <w:t>技术档案</w:t>
      </w:r>
      <w:bookmarkEnd w:id="59"/>
    </w:p>
    <w:p w14:paraId="042ED867">
      <w:pPr>
        <w:pStyle w:val="56"/>
        <w:ind w:firstLine="420"/>
      </w:pPr>
      <w:r>
        <w:rPr>
          <w:rFonts w:hint="eastAsia"/>
        </w:rPr>
        <w:t>应建立技术档案，内容包括：立木碳储量计算、林分碳密度估算方法、林分碳储量估算方法和应用。</w:t>
      </w:r>
    </w:p>
    <w:bookmarkEnd w:id="24"/>
    <w:p w14:paraId="1C31EE41">
      <w:pPr>
        <w:pStyle w:val="56"/>
        <w:ind w:firstLine="0" w:firstLineChars="0"/>
        <w:jc w:val="center"/>
      </w:pPr>
      <w:bookmarkStart w:id="60" w:name="BookMark8"/>
      <w:r>
        <w:rPr>
          <w:rFonts w:hint="eastAsia"/>
        </w:rPr>
        <w:drawing>
          <wp:inline distT="0" distB="0" distL="0" distR="0">
            <wp:extent cx="1485900" cy="317500"/>
            <wp:effectExtent l="0" t="0" r="0" b="6350"/>
            <wp:docPr id="894906628" name="图片 1"/>
            <wp:cNvGraphicFramePr/>
            <a:graphic xmlns:a="http://schemas.openxmlformats.org/drawingml/2006/main">
              <a:graphicData uri="http://schemas.openxmlformats.org/drawingml/2006/picture">
                <pic:pic xmlns:pic="http://schemas.openxmlformats.org/drawingml/2006/picture">
                  <pic:nvPicPr>
                    <pic:cNvPr id="894906628"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6FF45">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443E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4E54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3558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2AA6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AAE3C">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4CD94">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ERqCUBMxQomYlg/Xdzz4Dtz9vXInnYNQIlxtTu1XaiN5ePZU/GLlJbcdQUlytDZQYBtDdYrNL3WQ6i+zsM5h/g==" w:salt="bTw915V3JidAY3o39lMb9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43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3EA"/>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17C"/>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F45"/>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04B"/>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785"/>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246"/>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1FD5"/>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533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26A"/>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007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434"/>
    <w:rsid w:val="00FF3E7D"/>
    <w:rsid w:val="00FF5B99"/>
    <w:rsid w:val="00FF730C"/>
    <w:rsid w:val="00FF73F4"/>
    <w:rsid w:val="00FF7CE4"/>
    <w:rsid w:val="00FF7E39"/>
    <w:rsid w:val="02810A7C"/>
    <w:rsid w:val="03070C1E"/>
    <w:rsid w:val="05A54A82"/>
    <w:rsid w:val="060F639F"/>
    <w:rsid w:val="06B86A37"/>
    <w:rsid w:val="0A4347AE"/>
    <w:rsid w:val="0A8C6210"/>
    <w:rsid w:val="0B0F299D"/>
    <w:rsid w:val="0C566AD6"/>
    <w:rsid w:val="0DF30354"/>
    <w:rsid w:val="0E6D45AA"/>
    <w:rsid w:val="0E813BB2"/>
    <w:rsid w:val="10C73EC4"/>
    <w:rsid w:val="13B16CE7"/>
    <w:rsid w:val="14EA0703"/>
    <w:rsid w:val="1736755D"/>
    <w:rsid w:val="1A420E7F"/>
    <w:rsid w:val="1A4F2DB6"/>
    <w:rsid w:val="1C833C55"/>
    <w:rsid w:val="1F7766D9"/>
    <w:rsid w:val="20407429"/>
    <w:rsid w:val="20971013"/>
    <w:rsid w:val="24142F60"/>
    <w:rsid w:val="24523AC8"/>
    <w:rsid w:val="2C136339"/>
    <w:rsid w:val="3027122A"/>
    <w:rsid w:val="32D30E25"/>
    <w:rsid w:val="373727B0"/>
    <w:rsid w:val="37465815"/>
    <w:rsid w:val="39B5458C"/>
    <w:rsid w:val="3CD218F9"/>
    <w:rsid w:val="3DE11DF4"/>
    <w:rsid w:val="3E024EDA"/>
    <w:rsid w:val="3F9738E4"/>
    <w:rsid w:val="3FB04C1C"/>
    <w:rsid w:val="40E83499"/>
    <w:rsid w:val="40F63E08"/>
    <w:rsid w:val="41E445B4"/>
    <w:rsid w:val="44086E52"/>
    <w:rsid w:val="44F22B38"/>
    <w:rsid w:val="458019B5"/>
    <w:rsid w:val="45DB537A"/>
    <w:rsid w:val="45ED02AA"/>
    <w:rsid w:val="47264D1B"/>
    <w:rsid w:val="4BB23021"/>
    <w:rsid w:val="4BFB49C8"/>
    <w:rsid w:val="4C1415E6"/>
    <w:rsid w:val="4EC45545"/>
    <w:rsid w:val="4F5D14F6"/>
    <w:rsid w:val="513D15DF"/>
    <w:rsid w:val="52157E66"/>
    <w:rsid w:val="534722A1"/>
    <w:rsid w:val="55110DB9"/>
    <w:rsid w:val="5523460A"/>
    <w:rsid w:val="56384123"/>
    <w:rsid w:val="563C7B26"/>
    <w:rsid w:val="57A852D8"/>
    <w:rsid w:val="593779A6"/>
    <w:rsid w:val="5A1A070F"/>
    <w:rsid w:val="5C2A6C04"/>
    <w:rsid w:val="5CAA72C8"/>
    <w:rsid w:val="5D900CE9"/>
    <w:rsid w:val="607B17DC"/>
    <w:rsid w:val="61497B2C"/>
    <w:rsid w:val="631A1780"/>
    <w:rsid w:val="63495BC1"/>
    <w:rsid w:val="63A64CE9"/>
    <w:rsid w:val="63B84AF5"/>
    <w:rsid w:val="64D92F75"/>
    <w:rsid w:val="65E532A6"/>
    <w:rsid w:val="65E6594A"/>
    <w:rsid w:val="679413D5"/>
    <w:rsid w:val="688B4586"/>
    <w:rsid w:val="6A5F216E"/>
    <w:rsid w:val="6BD821D8"/>
    <w:rsid w:val="6C046540"/>
    <w:rsid w:val="6DC5053A"/>
    <w:rsid w:val="6F2D6397"/>
    <w:rsid w:val="6F4D6A39"/>
    <w:rsid w:val="71431EA2"/>
    <w:rsid w:val="721101F2"/>
    <w:rsid w:val="727F49BA"/>
    <w:rsid w:val="77A56DDC"/>
    <w:rsid w:val="784D1858"/>
    <w:rsid w:val="78727511"/>
    <w:rsid w:val="7DBB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table" w:customStyle="1" w:styleId="230">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231">
    <w:name w:val="Table Text"/>
    <w:basedOn w:val="1"/>
    <w:semiHidden/>
    <w:qFormat/>
    <w:uiPriority w:val="0"/>
    <w:pPr>
      <w:widowControl/>
      <w:kinsoku w:val="0"/>
      <w:autoSpaceDE w:val="0"/>
      <w:autoSpaceDN w:val="0"/>
      <w:snapToGrid w:val="0"/>
      <w:spacing w:line="240" w:lineRule="auto"/>
      <w:jc w:val="left"/>
      <w:textAlignment w:val="baseline"/>
    </w:pPr>
    <w:rPr>
      <w:rFonts w:ascii="Times New Roman" w:hAnsi="Times New Roman" w:eastAsia="Times New Roman"/>
      <w:snapToGrid w:val="0"/>
      <w:color w:val="000000"/>
      <w:kern w:val="0"/>
      <w:sz w:val="18"/>
      <w:szCs w:val="18"/>
      <w:lang w:eastAsia="en-US"/>
    </w:rPr>
  </w:style>
  <w:style w:type="paragraph" w:customStyle="1" w:styleId="232">
    <w:name w:val="段"/>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jpeg"/><Relationship Id="rId17" Type="http://schemas.openxmlformats.org/officeDocument/2006/relationships/image" Target="media/image4.wmf"/><Relationship Id="rId16" Type="http://schemas.openxmlformats.org/officeDocument/2006/relationships/oleObject" Target="embeddings/oleObject1.bin"/><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28412955DFC446C81036B379B346237"/>
        <w:style w:val=""/>
        <w:category>
          <w:name w:val="常规"/>
          <w:gallery w:val="placeholder"/>
        </w:category>
        <w:types>
          <w:type w:val="bbPlcHdr"/>
        </w:types>
        <w:behaviors>
          <w:behavior w:val="content"/>
        </w:behaviors>
        <w:description w:val=""/>
        <w:guid w:val="{A544E78A-6B65-48FF-810B-9B0735296AD3}"/>
      </w:docPartPr>
      <w:docPartBody>
        <w:p w14:paraId="3806A3AF">
          <w:pPr>
            <w:pStyle w:val="5"/>
            <w:rPr>
              <w:rFonts w:hint="eastAsia"/>
            </w:rPr>
          </w:pPr>
          <w:r>
            <w:rPr>
              <w:rStyle w:val="4"/>
              <w:rFonts w:hint="eastAsia"/>
            </w:rPr>
            <w:t>单击或点击此处输入文字。</w:t>
          </w:r>
        </w:p>
      </w:docPartBody>
    </w:docPart>
    <w:docPart>
      <w:docPartPr>
        <w:name w:val="F780555DE2B24FE6914DD84B1E3243AB"/>
        <w:style w:val=""/>
        <w:category>
          <w:name w:val="常规"/>
          <w:gallery w:val="placeholder"/>
        </w:category>
        <w:types>
          <w:type w:val="bbPlcHdr"/>
        </w:types>
        <w:behaviors>
          <w:behavior w:val="content"/>
        </w:behaviors>
        <w:description w:val=""/>
        <w:guid w:val="{C7F435FE-44FF-4EE1-8D49-8349B60262A6}"/>
      </w:docPartPr>
      <w:docPartBody>
        <w:p w14:paraId="58BC0911">
          <w:pPr>
            <w:pStyle w:val="6"/>
            <w:rPr>
              <w:rFonts w:hint="eastAsia"/>
            </w:rPr>
          </w:pPr>
          <w:r>
            <w:rPr>
              <w:rStyle w:val="4"/>
              <w:rFonts w:hint="eastAsia"/>
            </w:rPr>
            <w:t>选择一项。</w:t>
          </w:r>
        </w:p>
      </w:docPartBody>
    </w:docPart>
    <w:docPart>
      <w:docPartPr>
        <w:name w:val="6556757F5A4344EBABD3B993EA319DE2"/>
        <w:style w:val=""/>
        <w:category>
          <w:name w:val="常规"/>
          <w:gallery w:val="placeholder"/>
        </w:category>
        <w:types>
          <w:type w:val="bbPlcHdr"/>
        </w:types>
        <w:behaviors>
          <w:behavior w:val="content"/>
        </w:behaviors>
        <w:description w:val=""/>
        <w:guid w:val="{493F60A0-94B0-4678-8D1D-9D8A7985CBB3}"/>
      </w:docPartPr>
      <w:docPartBody>
        <w:p w14:paraId="41027C6F">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3F0"/>
    <w:rsid w:val="002643EA"/>
    <w:rsid w:val="003D7F37"/>
    <w:rsid w:val="00D30644"/>
    <w:rsid w:val="00F44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28412955DFC446C81036B379B346237"/>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F780555DE2B24FE6914DD84B1E3243AB"/>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556757F5A4344EBABD3B993EA319DE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6</Pages>
  <Words>955</Words>
  <Characters>1119</Characters>
  <Lines>340</Lines>
  <Paragraphs>306</Paragraphs>
  <TotalTime>2</TotalTime>
  <ScaleCrop>false</ScaleCrop>
  <LinksUpToDate>false</LinksUpToDate>
  <CharactersWithSpaces>1217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2026-07-30T00:47:00Z</dcterms:created>
  <dc:creator>ruby</dc:creator>
  <dc:description>&lt;config cover="true" show_menu="true" version="1.0.0" doctype="SDKXY"&gt;_x000d_
&lt;/config&gt;</dc:description>
  <cp:lastModifiedBy>海棠依旧</cp:lastModifiedBy>
  <cp:lastPrinted>2021-02-02T08:22:00Z</cp:lastPrinted>
  <dcterms:modified xsi:type="dcterms:W3CDTF">2026-07-30T03:26:47Z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1CEEB51CEC0940D6814A0AC2756B8234_13</vt:lpwstr>
  </property>
  <property fmtid="{D5CDD505-2E9C-101B-9397-08002B2CF9AE}" pid="16" name="KSOTemplateDocerSaveRecord">
    <vt:lpwstr>eyJoZGlkIjoiZmE2OGY4ZTk3MjA0Y2Y4YWQ4N2IyNGYyZDkwODAxNzYiLCJ1c2VySWQiOiI2MDUxMDA0NjkifQ==</vt:lpwstr>
  </property>
</Properties>
</file>