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A511E">
      <w:pPr>
        <w:pStyle w:val="26"/>
        <w:numPr>
          <w:ilvl w:val="0"/>
          <w:numId w:val="0"/>
        </w:numPr>
        <w:ind w:leftChars="0"/>
        <w:jc w:val="center"/>
        <w:rPr>
          <w:rFonts w:hint="eastAsia"/>
        </w:rPr>
      </w:pPr>
      <w:bookmarkStart w:id="0" w:name="黑龙江省林学会团体标准栎类碳储量估算技术指南编制说明"/>
      <w:r>
        <w:rPr>
          <w:rFonts w:hint="eastAsia" w:ascii="方正小标宋简体" w:eastAsia="方正小标宋简体"/>
          <w:sz w:val="44"/>
          <w:szCs w:val="44"/>
          <w:lang w:val="en-US" w:eastAsia="zh-CN"/>
        </w:rPr>
        <w:t>黑龙江省林学会团体标准《樟子松天然林碳储量估算技术指南》编制说明</w:t>
      </w:r>
    </w:p>
    <w:p w14:paraId="37A2031D">
      <w:pPr>
        <w:pStyle w:val="26"/>
        <w:numPr>
          <w:ilvl w:val="0"/>
          <w:numId w:val="0"/>
        </w:numPr>
        <w:ind w:leftChars="0"/>
        <w:jc w:val="center"/>
        <w:rPr>
          <w:rFonts w:hint="eastAsia" w:ascii="仿宋" w:hAnsi="仿宋" w:eastAsia="仿宋" w:cs="仿宋"/>
          <w:b/>
          <w:bCs/>
          <w:sz w:val="32"/>
          <w:szCs w:val="32"/>
        </w:rPr>
      </w:pPr>
      <w:r>
        <w:rPr>
          <w:rFonts w:hint="eastAsia" w:ascii="仿宋" w:hAnsi="仿宋" w:eastAsia="仿宋" w:cs="仿宋"/>
          <w:b/>
          <w:bCs/>
          <w:sz w:val="32"/>
          <w:szCs w:val="32"/>
        </w:rPr>
        <w:t>东北林业大学</w:t>
      </w:r>
      <w:bookmarkStart w:id="1" w:name="一工作简况"/>
    </w:p>
    <w:p w14:paraId="78F797DC">
      <w:pPr>
        <w:pStyle w:val="3"/>
        <w:rPr>
          <w:rFonts w:hint="eastAsia"/>
        </w:rPr>
      </w:pPr>
    </w:p>
    <w:p w14:paraId="126AA319">
      <w:pPr>
        <w:pStyle w:val="26"/>
        <w:numPr>
          <w:ilvl w:val="0"/>
          <w:numId w:val="1"/>
        </w:numPr>
        <w:ind w:leftChars="0"/>
        <w:jc w:val="left"/>
        <w:rPr>
          <w:rFonts w:hint="eastAsia" w:ascii="黑体" w:hAnsi="黑体" w:eastAsia="黑体" w:cs="黑体"/>
          <w:sz w:val="32"/>
          <w:szCs w:val="32"/>
        </w:rPr>
      </w:pPr>
      <w:r>
        <w:rPr>
          <w:rFonts w:hint="eastAsia" w:ascii="黑体" w:hAnsi="黑体" w:eastAsia="黑体" w:cs="黑体"/>
          <w:sz w:val="32"/>
          <w:szCs w:val="32"/>
        </w:rPr>
        <w:t>工作简况</w:t>
      </w:r>
      <w:bookmarkStart w:id="2" w:name="一任务来源"/>
    </w:p>
    <w:p w14:paraId="2EE769CC">
      <w:pPr>
        <w:pStyle w:val="26"/>
        <w:numPr>
          <w:ilvl w:val="0"/>
          <w:numId w:val="0"/>
        </w:numPr>
        <w:jc w:val="left"/>
        <w:rPr>
          <w:rFonts w:hint="eastAsia" w:ascii="楷体" w:hAnsi="楷体" w:eastAsia="楷体" w:cs="楷体"/>
          <w:sz w:val="32"/>
          <w:szCs w:val="32"/>
        </w:rPr>
      </w:pPr>
      <w:r>
        <w:rPr>
          <w:rFonts w:hint="eastAsia" w:ascii="楷体" w:hAnsi="楷体" w:eastAsia="楷体" w:cs="楷体"/>
          <w:sz w:val="32"/>
          <w:szCs w:val="32"/>
        </w:rPr>
        <w:t>（一）任务来源</w:t>
      </w:r>
    </w:p>
    <w:p w14:paraId="515D9079">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《樟子松天然林碳储量估算技术指南》来源于根据黑龙江省林学会团体标准制修订工作的安排，结合黑龙江省樟子松天然林碳汇计量的实际需求，制定本文件。标准由黑龙江省林学会提出并归口。</w:t>
      </w:r>
      <w:bookmarkEnd w:id="2"/>
      <w:bookmarkStart w:id="3" w:name="二标准主要起草单位协作单位主要起草人及责任分工"/>
    </w:p>
    <w:p w14:paraId="0922B60B">
      <w:pPr>
        <w:pStyle w:val="26"/>
        <w:numPr>
          <w:ilvl w:val="0"/>
          <w:numId w:val="0"/>
        </w:numPr>
        <w:ind w:leftChars="0"/>
        <w:jc w:val="left"/>
        <w:rPr>
          <w:rFonts w:hint="eastAsia" w:ascii="楷体" w:hAnsi="楷体" w:eastAsia="楷体" w:cs="楷体"/>
          <w:sz w:val="32"/>
          <w:szCs w:val="32"/>
        </w:rPr>
      </w:pPr>
      <w:r>
        <w:rPr>
          <w:rFonts w:hint="eastAsia" w:ascii="楷体" w:hAnsi="楷体" w:eastAsia="楷体" w:cs="楷体"/>
          <w:sz w:val="32"/>
          <w:szCs w:val="32"/>
        </w:rPr>
        <w:t>（二）标准主要起草单位、协作单位，主要起草人及责任分工</w:t>
      </w:r>
    </w:p>
    <w:p w14:paraId="611196FF">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left"/>
        <w:textAlignment w:val="auto"/>
        <w:rPr>
          <w:rFonts w:hint="eastAsia" w:ascii="仿宋" w:hAnsi="仿宋" w:eastAsia="仿宋" w:cs="仿宋"/>
          <w:sz w:val="32"/>
          <w:szCs w:val="32"/>
        </w:rPr>
      </w:pPr>
      <w:r>
        <w:rPr>
          <w:rFonts w:hint="eastAsia" w:ascii="仿宋" w:hAnsi="仿宋" w:eastAsia="仿宋" w:cs="仿宋"/>
          <w:sz w:val="32"/>
          <w:szCs w:val="32"/>
        </w:rPr>
        <w:t>起草单位： 东北林业大学</w:t>
      </w:r>
    </w:p>
    <w:p w14:paraId="49B10B2B">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left"/>
        <w:textAlignment w:val="auto"/>
        <w:rPr>
          <w:rFonts w:hint="eastAsia" w:ascii="仿宋" w:hAnsi="仿宋" w:eastAsia="仿宋" w:cs="仿宋"/>
          <w:sz w:val="32"/>
          <w:szCs w:val="32"/>
        </w:rPr>
      </w:pPr>
      <w:r>
        <w:rPr>
          <w:rFonts w:hint="eastAsia" w:ascii="仿宋" w:hAnsi="仿宋" w:eastAsia="仿宋" w:cs="仿宋"/>
          <w:sz w:val="32"/>
          <w:szCs w:val="32"/>
        </w:rPr>
        <w:t>协作单位：黑龙江省庆安国有林场管理局，</w:t>
      </w:r>
      <w:r>
        <w:rPr>
          <w:rFonts w:hint="eastAsia" w:ascii="仿宋" w:hAnsi="仿宋" w:eastAsia="仿宋" w:cs="仿宋"/>
          <w:sz w:val="32"/>
          <w:szCs w:val="32"/>
          <w:lang w:eastAsia="zh-CN"/>
        </w:rPr>
        <w:t>黑龙江省自然与生态研究所，黑龙江省森林植物园，黑龙江省林业技术服务中心。</w:t>
      </w:r>
    </w:p>
    <w:p w14:paraId="79DB2723">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left"/>
        <w:textAlignment w:val="auto"/>
        <w:rPr>
          <w:rFonts w:hint="eastAsia" w:ascii="仿宋" w:hAnsi="仿宋" w:eastAsia="仿宋" w:cs="仿宋"/>
          <w:sz w:val="32"/>
          <w:szCs w:val="32"/>
        </w:rPr>
      </w:pPr>
      <w:r>
        <w:rPr>
          <w:rFonts w:hint="eastAsia" w:ascii="仿宋" w:hAnsi="仿宋" w:eastAsia="仿宋" w:cs="仿宋"/>
          <w:sz w:val="32"/>
          <w:szCs w:val="32"/>
        </w:rPr>
        <w:t xml:space="preserve">主要起草人及责任分工：郭晓瑞 </w:t>
      </w:r>
      <w:r>
        <w:rPr>
          <w:rFonts w:hint="eastAsia" w:ascii="仿宋" w:hAnsi="仿宋" w:eastAsia="仿宋" w:cs="仿宋"/>
          <w:sz w:val="32"/>
          <w:szCs w:val="32"/>
          <w:lang w:val="en-US" w:eastAsia="zh-CN"/>
        </w:rPr>
        <w:t xml:space="preserve">陈志强 王化 张志刚 张瑜 宋佳庚 </w:t>
      </w:r>
      <w:r>
        <w:rPr>
          <w:rFonts w:hint="eastAsia" w:ascii="仿宋" w:hAnsi="仿宋" w:eastAsia="仿宋" w:cs="仿宋"/>
          <w:sz w:val="32"/>
          <w:szCs w:val="32"/>
        </w:rPr>
        <w:t>尤学 宗月月 刘彦</w:t>
      </w:r>
      <w:r>
        <w:rPr>
          <w:rFonts w:hint="eastAsia" w:ascii="仿宋" w:hAnsi="仿宋" w:eastAsia="仿宋" w:cs="仿宋"/>
          <w:sz w:val="32"/>
          <w:szCs w:val="32"/>
          <w:lang w:val="en-US" w:eastAsia="zh-CN"/>
        </w:rPr>
        <w:t>军</w:t>
      </w:r>
      <w:r>
        <w:rPr>
          <w:rFonts w:hint="eastAsia" w:ascii="仿宋" w:hAnsi="仿宋" w:eastAsia="仿宋" w:cs="仿宋"/>
          <w:sz w:val="32"/>
          <w:szCs w:val="32"/>
        </w:rPr>
        <w:t xml:space="preserve"> 姜思琦</w:t>
      </w:r>
    </w:p>
    <w:tbl>
      <w:tblPr>
        <w:tblStyle w:val="4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16"/>
        <w:gridCol w:w="1957"/>
        <w:gridCol w:w="5583"/>
      </w:tblGrid>
      <w:tr w14:paraId="296951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316" w:type="dxa"/>
          </w:tcPr>
          <w:p w14:paraId="7BB966F0">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rPr>
              <w:t>姓名</w:t>
            </w:r>
          </w:p>
        </w:tc>
        <w:tc>
          <w:tcPr>
            <w:tcW w:w="1957" w:type="dxa"/>
          </w:tcPr>
          <w:p w14:paraId="76486491">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rPr>
              <w:t>单位</w:t>
            </w:r>
          </w:p>
        </w:tc>
        <w:tc>
          <w:tcPr>
            <w:tcW w:w="5583" w:type="dxa"/>
          </w:tcPr>
          <w:p w14:paraId="063A11BF">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rPr>
              <w:t>责任分工</w:t>
            </w:r>
          </w:p>
        </w:tc>
      </w:tr>
      <w:tr w14:paraId="6BE359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16" w:type="dxa"/>
          </w:tcPr>
          <w:p w14:paraId="5D4A8A73">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rPr>
              <w:t>郭晓瑞</w:t>
            </w:r>
          </w:p>
        </w:tc>
        <w:tc>
          <w:tcPr>
            <w:tcW w:w="1957" w:type="dxa"/>
          </w:tcPr>
          <w:p w14:paraId="3176FEFD">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东北林业大学</w:t>
            </w:r>
          </w:p>
        </w:tc>
        <w:tc>
          <w:tcPr>
            <w:tcW w:w="5583" w:type="dxa"/>
            <w:vAlign w:val="top"/>
          </w:tcPr>
          <w:p w14:paraId="438306E0">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rPr>
              <w:t>标准总体框架设计、技术路线审定，统筹标准编制全过程，负责关键技术条款论证与审核</w:t>
            </w:r>
          </w:p>
        </w:tc>
      </w:tr>
      <w:tr w14:paraId="774DC7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16" w:type="dxa"/>
          </w:tcPr>
          <w:p w14:paraId="5F6BC3DA">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陈志强</w:t>
            </w:r>
          </w:p>
        </w:tc>
        <w:tc>
          <w:tcPr>
            <w:tcW w:w="1957" w:type="dxa"/>
          </w:tcPr>
          <w:p w14:paraId="29BA3355">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rPr>
              <w:t>黑龙江省庆安国有林场管理局</w:t>
            </w:r>
          </w:p>
        </w:tc>
        <w:tc>
          <w:tcPr>
            <w:tcW w:w="5583" w:type="dxa"/>
            <w:vAlign w:val="top"/>
          </w:tcPr>
          <w:p w14:paraId="795DA65A">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rPr>
              <w:t>提供蒙古栎林野外调查样地资源、林区生产实践需求，开展标准条款实地适用性验证，组织基层技术研讨</w:t>
            </w:r>
          </w:p>
        </w:tc>
      </w:tr>
      <w:tr w14:paraId="452D82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16" w:type="dxa"/>
          </w:tcPr>
          <w:p w14:paraId="1375E181">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王化</w:t>
            </w:r>
          </w:p>
        </w:tc>
        <w:tc>
          <w:tcPr>
            <w:tcW w:w="1957" w:type="dxa"/>
          </w:tcPr>
          <w:p w14:paraId="46EB71AB">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黑龙江省自然与生态研究所</w:t>
            </w:r>
          </w:p>
        </w:tc>
        <w:tc>
          <w:tcPr>
            <w:tcW w:w="5583" w:type="dxa"/>
            <w:vAlign w:val="top"/>
          </w:tcPr>
          <w:p w14:paraId="47E7B43F">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rPr>
              <w:t>碳储量估算方法、生物量模型与参数体系技术审核，负责标准科学性、学术内容把关</w:t>
            </w:r>
          </w:p>
        </w:tc>
      </w:tr>
      <w:tr w14:paraId="4BC1B5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16" w:type="dxa"/>
          </w:tcPr>
          <w:p w14:paraId="601114E6">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张志刚</w:t>
            </w:r>
          </w:p>
        </w:tc>
        <w:tc>
          <w:tcPr>
            <w:tcW w:w="1957" w:type="dxa"/>
          </w:tcPr>
          <w:p w14:paraId="4CAEAE16">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rPr>
              <w:t>黑龙江省庆安国有林场管理局</w:t>
            </w:r>
          </w:p>
        </w:tc>
        <w:tc>
          <w:tcPr>
            <w:tcW w:w="5583" w:type="dxa"/>
            <w:vAlign w:val="top"/>
          </w:tcPr>
          <w:p w14:paraId="410BD72E">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rPr>
              <w:t>结合林场森林经营、资源调查业务，梳理实操痛点，参与外业调查技术条款修订，标准应用场景论证</w:t>
            </w:r>
          </w:p>
        </w:tc>
      </w:tr>
      <w:tr w14:paraId="03DADD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16" w:type="dxa"/>
          </w:tcPr>
          <w:p w14:paraId="0DDF1627">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张瑜</w:t>
            </w:r>
          </w:p>
        </w:tc>
        <w:tc>
          <w:tcPr>
            <w:tcW w:w="1957" w:type="dxa"/>
          </w:tcPr>
          <w:p w14:paraId="6779119D">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黑龙江省森林植物园</w:t>
            </w:r>
          </w:p>
        </w:tc>
        <w:tc>
          <w:tcPr>
            <w:tcW w:w="5583" w:type="dxa"/>
            <w:vAlign w:val="top"/>
          </w:tcPr>
          <w:p w14:paraId="6CE792F9">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征求意见</w:t>
            </w:r>
          </w:p>
        </w:tc>
      </w:tr>
      <w:tr w14:paraId="21B60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16" w:type="dxa"/>
          </w:tcPr>
          <w:p w14:paraId="435619D0">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lang w:val="en-US" w:eastAsia="zh-CN"/>
              </w:rPr>
            </w:pPr>
            <w:bookmarkStart w:id="4" w:name="三工作简况"/>
            <w:r>
              <w:rPr>
                <w:rFonts w:hint="eastAsia" w:ascii="宋体" w:hAnsi="宋体" w:eastAsia="宋体" w:cs="宋体"/>
                <w:sz w:val="24"/>
                <w:szCs w:val="24"/>
                <w:lang w:val="en-US" w:eastAsia="zh-CN"/>
              </w:rPr>
              <w:t>宋佳庚</w:t>
            </w:r>
          </w:p>
        </w:tc>
        <w:tc>
          <w:tcPr>
            <w:tcW w:w="1957" w:type="dxa"/>
          </w:tcPr>
          <w:p w14:paraId="13CEC213">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黑龙江省林业技术服务中心</w:t>
            </w:r>
          </w:p>
        </w:tc>
        <w:tc>
          <w:tcPr>
            <w:tcW w:w="5583" w:type="dxa"/>
            <w:vAlign w:val="top"/>
          </w:tcPr>
          <w:p w14:paraId="1C53F96D">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rPr>
              <w:t>对接全省森林资源调查业务体系，协调标准技术衔接，负责行业应用可行性评审</w:t>
            </w:r>
          </w:p>
        </w:tc>
      </w:tr>
      <w:tr w14:paraId="4AA9F3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16" w:type="dxa"/>
          </w:tcPr>
          <w:p w14:paraId="4BD42086">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尤学</w:t>
            </w:r>
          </w:p>
        </w:tc>
        <w:tc>
          <w:tcPr>
            <w:tcW w:w="1957" w:type="dxa"/>
          </w:tcPr>
          <w:p w14:paraId="64530FED">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东北林业大学</w:t>
            </w:r>
          </w:p>
        </w:tc>
        <w:tc>
          <w:tcPr>
            <w:tcW w:w="5583" w:type="dxa"/>
            <w:vAlign w:val="top"/>
          </w:tcPr>
          <w:p w14:paraId="263106CC">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样地调查，数据测定</w:t>
            </w:r>
          </w:p>
        </w:tc>
      </w:tr>
      <w:tr w14:paraId="17E52E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16" w:type="dxa"/>
          </w:tcPr>
          <w:p w14:paraId="3030C091">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宗月月</w:t>
            </w:r>
          </w:p>
        </w:tc>
        <w:tc>
          <w:tcPr>
            <w:tcW w:w="1957" w:type="dxa"/>
          </w:tcPr>
          <w:p w14:paraId="53F73E03">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东北林业大学</w:t>
            </w:r>
          </w:p>
        </w:tc>
        <w:tc>
          <w:tcPr>
            <w:tcW w:w="5583" w:type="dxa"/>
            <w:vAlign w:val="top"/>
          </w:tcPr>
          <w:p w14:paraId="22857838">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0" w:lef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标准初稿</w:t>
            </w:r>
            <w:r>
              <w:rPr>
                <w:rFonts w:hint="eastAsia" w:ascii="宋体" w:hAnsi="宋体" w:eastAsia="宋体" w:cs="宋体"/>
                <w:sz w:val="24"/>
                <w:szCs w:val="24"/>
                <w:lang w:val="en-US" w:eastAsia="zh-CN"/>
              </w:rPr>
              <w:t>写作</w:t>
            </w:r>
          </w:p>
        </w:tc>
      </w:tr>
      <w:tr w14:paraId="0E07F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16" w:type="dxa"/>
          </w:tcPr>
          <w:p w14:paraId="79DCB044">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刘彦</w:t>
            </w:r>
            <w:r>
              <w:rPr>
                <w:rFonts w:hint="eastAsia" w:ascii="宋体" w:hAnsi="宋体" w:eastAsia="宋体" w:cs="宋体"/>
                <w:sz w:val="24"/>
                <w:szCs w:val="24"/>
                <w:lang w:val="en-US" w:eastAsia="zh-CN"/>
              </w:rPr>
              <w:t>军</w:t>
            </w:r>
            <w:bookmarkStart w:id="19" w:name="_GoBack"/>
            <w:bookmarkEnd w:id="19"/>
          </w:p>
        </w:tc>
        <w:tc>
          <w:tcPr>
            <w:tcW w:w="1957" w:type="dxa"/>
          </w:tcPr>
          <w:p w14:paraId="7707546D">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东北林业大学</w:t>
            </w:r>
          </w:p>
        </w:tc>
        <w:tc>
          <w:tcPr>
            <w:tcW w:w="5583" w:type="dxa"/>
            <w:vAlign w:val="top"/>
          </w:tcPr>
          <w:p w14:paraId="458F02EF">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0" w:lef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汇总、整理标准编制所需栎类数据</w:t>
            </w:r>
          </w:p>
        </w:tc>
      </w:tr>
      <w:tr w14:paraId="17DD13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16" w:type="dxa"/>
          </w:tcPr>
          <w:p w14:paraId="284479A7">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姜思琦</w:t>
            </w:r>
          </w:p>
        </w:tc>
        <w:tc>
          <w:tcPr>
            <w:tcW w:w="1957" w:type="dxa"/>
          </w:tcPr>
          <w:p w14:paraId="3FD3EBBA">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东北林业大学</w:t>
            </w:r>
          </w:p>
        </w:tc>
        <w:tc>
          <w:tcPr>
            <w:tcW w:w="5583" w:type="dxa"/>
            <w:vAlign w:val="top"/>
          </w:tcPr>
          <w:p w14:paraId="3C4AA991">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0" w:lef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相关文献查阅</w:t>
            </w:r>
          </w:p>
        </w:tc>
      </w:tr>
      <w:bookmarkEnd w:id="3"/>
    </w:tbl>
    <w:p w14:paraId="7338F66E">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按照黑龙江省林学会团体标准制订要求，成立了《</w:t>
      </w:r>
      <w:r>
        <w:rPr>
          <w:rFonts w:hint="eastAsia" w:ascii="仿宋" w:hAnsi="仿宋" w:eastAsia="仿宋" w:cs="仿宋"/>
          <w:sz w:val="32"/>
          <w:szCs w:val="32"/>
          <w:lang w:val="en-US" w:eastAsia="zh-CN"/>
        </w:rPr>
        <w:t>樟子松</w:t>
      </w:r>
      <w:r>
        <w:rPr>
          <w:rFonts w:hint="eastAsia" w:ascii="仿宋" w:hAnsi="仿宋" w:eastAsia="仿宋" w:cs="仿宋"/>
          <w:sz w:val="32"/>
          <w:szCs w:val="32"/>
        </w:rPr>
        <w:t>碳储量估算技术指南》工作组。工作组成员认真学习了GB/T 1.1—2020《标准化工作导则 第1部分：标准化文件的结构和起草规则》及有关标准编写规范。</w:t>
      </w:r>
    </w:p>
    <w:p w14:paraId="78D918ED">
      <w:pPr>
        <w:pStyle w:val="3"/>
        <w:rPr>
          <w:rFonts w:hint="eastAsia" w:ascii="楷体" w:hAnsi="楷体" w:eastAsia="楷体" w:cs="楷体"/>
          <w:sz w:val="32"/>
          <w:szCs w:val="32"/>
        </w:rPr>
      </w:pPr>
      <w:r>
        <w:rPr>
          <w:rFonts w:hint="eastAsia" w:ascii="楷体" w:hAnsi="楷体" w:eastAsia="楷体" w:cs="楷体"/>
          <w:sz w:val="32"/>
          <w:szCs w:val="32"/>
        </w:rPr>
        <w:t>（三）工作简况</w:t>
      </w:r>
    </w:p>
    <w:p w14:paraId="1B2352FA">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针对黑龙江省</w:t>
      </w:r>
      <w:r>
        <w:rPr>
          <w:rFonts w:hint="eastAsia" w:ascii="仿宋" w:hAnsi="仿宋" w:eastAsia="仿宋" w:cs="仿宋"/>
          <w:sz w:val="32"/>
          <w:szCs w:val="32"/>
          <w:lang w:val="en-US" w:eastAsia="zh-CN"/>
        </w:rPr>
        <w:t>樟子松天然</w:t>
      </w:r>
      <w:r>
        <w:rPr>
          <w:rFonts w:hint="eastAsia" w:ascii="仿宋" w:hAnsi="仿宋" w:eastAsia="仿宋" w:cs="仿宋"/>
          <w:sz w:val="32"/>
          <w:szCs w:val="32"/>
        </w:rPr>
        <w:t>林碳汇计量的实际需要，基于已获得的东北地区</w:t>
      </w:r>
      <w:r>
        <w:rPr>
          <w:rFonts w:hint="eastAsia" w:ascii="仿宋" w:hAnsi="仿宋" w:eastAsia="仿宋" w:cs="仿宋"/>
          <w:sz w:val="32"/>
          <w:szCs w:val="32"/>
          <w:lang w:val="en-US" w:eastAsia="zh-CN"/>
        </w:rPr>
        <w:t>樟子松</w:t>
      </w:r>
      <w:r>
        <w:rPr>
          <w:rFonts w:hint="eastAsia" w:ascii="仿宋" w:hAnsi="仿宋" w:eastAsia="仿宋" w:cs="仿宋"/>
          <w:sz w:val="32"/>
          <w:szCs w:val="32"/>
        </w:rPr>
        <w:t>的立木生物量、各器官含碳系数等科研数据，通过对数据的总结归纳与模型构建进行推广示范，最后形成</w:t>
      </w:r>
      <w:r>
        <w:rPr>
          <w:rFonts w:hint="eastAsia" w:ascii="仿宋" w:hAnsi="仿宋" w:eastAsia="仿宋" w:cs="仿宋"/>
          <w:sz w:val="32"/>
          <w:szCs w:val="32"/>
          <w:lang w:val="en-US" w:eastAsia="zh-CN"/>
        </w:rPr>
        <w:t>樟子松天然林</w:t>
      </w:r>
      <w:r>
        <w:rPr>
          <w:rFonts w:hint="eastAsia" w:ascii="仿宋" w:hAnsi="仿宋" w:eastAsia="仿宋" w:cs="仿宋"/>
          <w:sz w:val="32"/>
          <w:szCs w:val="32"/>
        </w:rPr>
        <w:t>碳储量估算技术指南，按照标准编制原则制定本标准。</w:t>
      </w:r>
    </w:p>
    <w:p w14:paraId="05B4E723">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1</w:t>
      </w:r>
      <w:r>
        <w:rPr>
          <w:rFonts w:hint="eastAsia" w:ascii="仿宋" w:hAnsi="仿宋" w:eastAsia="仿宋" w:cs="仿宋"/>
          <w:sz w:val="32"/>
          <w:szCs w:val="32"/>
        </w:rPr>
        <w:t>—</w:t>
      </w:r>
      <w:r>
        <w:rPr>
          <w:rFonts w:hint="eastAsia" w:ascii="仿宋" w:hAnsi="仿宋" w:eastAsia="仿宋" w:cs="仿宋"/>
          <w:sz w:val="32"/>
          <w:szCs w:val="32"/>
          <w:lang w:val="en-US" w:eastAsia="zh-CN"/>
        </w:rPr>
        <w:t>6</w:t>
      </w:r>
      <w:r>
        <w:rPr>
          <w:rFonts w:hint="eastAsia" w:ascii="仿宋" w:hAnsi="仿宋" w:eastAsia="仿宋" w:cs="仿宋"/>
          <w:sz w:val="32"/>
          <w:szCs w:val="32"/>
        </w:rPr>
        <w:t>月，标准起草小组通过网上搜集国内外有关资料，对相关标准进行收集、学习与分析，结合已有实测数据开展模型拟合工作</w:t>
      </w:r>
      <w:r>
        <w:rPr>
          <w:rFonts w:hint="eastAsia" w:ascii="仿宋" w:hAnsi="仿宋" w:eastAsia="仿宋" w:cs="仿宋"/>
          <w:sz w:val="32"/>
          <w:szCs w:val="32"/>
          <w:lang w:eastAsia="zh-CN"/>
        </w:rPr>
        <w:t>；</w:t>
      </w: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7</w:t>
      </w:r>
      <w:r>
        <w:rPr>
          <w:rFonts w:hint="eastAsia" w:ascii="仿宋" w:hAnsi="仿宋" w:eastAsia="仿宋" w:cs="仿宋"/>
          <w:sz w:val="32"/>
          <w:szCs w:val="32"/>
        </w:rPr>
        <w:t>—</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样地调查、样品采集、测试；</w:t>
      </w: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年1—</w:t>
      </w:r>
      <w:r>
        <w:rPr>
          <w:rFonts w:hint="eastAsia" w:ascii="仿宋" w:hAnsi="仿宋" w:eastAsia="仿宋" w:cs="仿宋"/>
          <w:sz w:val="32"/>
          <w:szCs w:val="32"/>
          <w:lang w:val="en-US" w:eastAsia="zh-CN"/>
        </w:rPr>
        <w:t>7</w:t>
      </w:r>
      <w:r>
        <w:rPr>
          <w:rFonts w:hint="eastAsia" w:ascii="仿宋" w:hAnsi="仿宋" w:eastAsia="仿宋" w:cs="仿宋"/>
          <w:sz w:val="32"/>
          <w:szCs w:val="32"/>
        </w:rPr>
        <w:t>月，完成标准草案初稿的编制，并送有关单位和专家征求意见。</w:t>
      </w:r>
      <w:bookmarkEnd w:id="1"/>
      <w:bookmarkEnd w:id="4"/>
      <w:bookmarkStart w:id="5" w:name="二现状和标准编制的必要性"/>
    </w:p>
    <w:p w14:paraId="2FEDF51D">
      <w:pPr>
        <w:pStyle w:val="3"/>
        <w:numPr>
          <w:ilvl w:val="0"/>
          <w:numId w:val="1"/>
        </w:numPr>
        <w:ind w:left="0" w:leftChars="0" w:firstLine="0" w:firstLineChars="0"/>
        <w:jc w:val="left"/>
        <w:rPr>
          <w:rFonts w:hint="eastAsia" w:ascii="黑体" w:hAnsi="黑体" w:eastAsia="黑体" w:cs="黑体"/>
          <w:sz w:val="32"/>
          <w:szCs w:val="32"/>
        </w:rPr>
      </w:pPr>
      <w:r>
        <w:rPr>
          <w:rFonts w:hint="eastAsia" w:ascii="黑体" w:hAnsi="黑体" w:eastAsia="黑体" w:cs="黑体"/>
          <w:sz w:val="32"/>
          <w:szCs w:val="32"/>
        </w:rPr>
        <w:t>现状和标准编制的必要性</w:t>
      </w:r>
      <w:bookmarkStart w:id="6" w:name="一我国栎类资源现状"/>
    </w:p>
    <w:p w14:paraId="2947D8B1">
      <w:pPr>
        <w:pStyle w:val="3"/>
        <w:numPr>
          <w:ilvl w:val="0"/>
          <w:numId w:val="2"/>
        </w:numPr>
        <w:ind w:leftChars="0"/>
        <w:jc w:val="left"/>
        <w:rPr>
          <w:rFonts w:hint="eastAsia" w:ascii="楷体" w:hAnsi="楷体" w:eastAsia="楷体" w:cs="楷体"/>
          <w:sz w:val="32"/>
          <w:szCs w:val="32"/>
        </w:rPr>
      </w:pPr>
      <w:r>
        <w:rPr>
          <w:rFonts w:hint="eastAsia" w:ascii="楷体" w:hAnsi="楷体" w:eastAsia="楷体" w:cs="楷体"/>
          <w:sz w:val="32"/>
          <w:szCs w:val="32"/>
        </w:rPr>
        <w:t>我国</w:t>
      </w:r>
      <w:r>
        <w:rPr>
          <w:rFonts w:hint="eastAsia" w:ascii="楷体" w:hAnsi="楷体" w:eastAsia="楷体" w:cs="楷体"/>
          <w:sz w:val="32"/>
          <w:szCs w:val="32"/>
          <w:lang w:val="en-US" w:eastAsia="zh-CN"/>
        </w:rPr>
        <w:t>樟子松</w:t>
      </w:r>
      <w:r>
        <w:rPr>
          <w:rFonts w:hint="eastAsia" w:ascii="楷体" w:hAnsi="楷体" w:eastAsia="楷体" w:cs="楷体"/>
          <w:sz w:val="32"/>
          <w:szCs w:val="32"/>
        </w:rPr>
        <w:t>资源现状</w:t>
      </w:r>
    </w:p>
    <w:p w14:paraId="53C38AD2">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樟子松（</w:t>
      </w:r>
      <w:r>
        <w:rPr>
          <w:rFonts w:hint="eastAsia" w:ascii="仿宋" w:hAnsi="仿宋" w:eastAsia="仿宋" w:cs="仿宋"/>
          <w:i/>
          <w:iCs/>
          <w:sz w:val="32"/>
          <w:szCs w:val="32"/>
        </w:rPr>
        <w:t>Pinus sylvestris</w:t>
      </w:r>
      <w:r>
        <w:rPr>
          <w:rFonts w:hint="eastAsia" w:ascii="仿宋" w:hAnsi="仿宋" w:eastAsia="仿宋" w:cs="仿宋"/>
          <w:sz w:val="32"/>
          <w:szCs w:val="32"/>
        </w:rPr>
        <w:t xml:space="preserve"> var.</w:t>
      </w:r>
      <w:r>
        <w:rPr>
          <w:rFonts w:hint="eastAsia" w:ascii="仿宋" w:hAnsi="仿宋" w:eastAsia="仿宋" w:cs="仿宋"/>
          <w:sz w:val="32"/>
          <w:szCs w:val="32"/>
          <w:lang w:val="en-US" w:eastAsia="zh-CN"/>
        </w:rPr>
        <w:t xml:space="preserve"> </w:t>
      </w:r>
      <w:r>
        <w:rPr>
          <w:rFonts w:hint="eastAsia" w:ascii="仿宋" w:hAnsi="仿宋" w:eastAsia="仿宋" w:cs="仿宋"/>
          <w:i/>
          <w:iCs/>
          <w:sz w:val="32"/>
          <w:szCs w:val="32"/>
        </w:rPr>
        <w:t>mongolica</w:t>
      </w:r>
      <w:r>
        <w:rPr>
          <w:rFonts w:hint="eastAsia" w:ascii="仿宋" w:hAnsi="仿宋" w:eastAsia="仿宋" w:cs="仿宋"/>
          <w:sz w:val="32"/>
          <w:szCs w:val="32"/>
        </w:rPr>
        <w:t>）又称海拉尔松，是欧洲赤松的地理变种，耐寒、耐旱、耐贫瘠，是我国寒温带、半干旱区特有原生针叶树种，同时也是北方防风固沙、水源涵养、生态屏障构建的关键乡土树种。天然原生分布集中于黑龙江大兴安岭山地、小兴安岭北部以及内蒙古呼伦贝尔高原沙地，人工引种林已广泛拓展至 “三北” 大部分省区。</w:t>
      </w:r>
    </w:p>
    <w:p w14:paraId="490E36D2">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黑龙江省是我国山地型樟子松天然林核心原生分布区，天然林主要集中分布于大兴安岭海拔 400～900 m 阳坡、半阳坡，在呼玛、塔河、漠河等区域形成带状、块状纯林或兴安落叶松 - 樟子松混交林；小兴安岭北部逊克、孙吴等沿江河沙质阶地残存少量天然樟子松林。长期实施天然林保护工程以来，省内樟子松天然林得到严格保护，森林群落逐步进入自然恢复阶段，林分结构持续优化，在区域碳循环调节、寒温带森林生态系统稳定维持、冻土保护、水土保持等方面发挥不可替代作用。</w:t>
      </w:r>
    </w:p>
    <w:p w14:paraId="2B965AAE">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从全国资源格局来看，国内现有樟子松资源呈现天然林总量有限、人工林规模持续扩张的特征。全国樟子松天然林集中分布于黑龙江大兴安岭与内蒙古红花尔基沙地两大片区，天然樟子松属于珍稀原生森林资源。相较于大面积人工樟子松林，天然樟子松林群落结构复杂、林下植被完整、枯落物层与土壤碳库发育充分，生态系统总碳储量构成更加多元。黑龙江省樟子松天然林作为寒温带典型原生针叶林，准确核算其碳储量、厘清不同碳库分配特征，是完善区域森林碳汇清单、科学评估北方天然林固碳功能、支撑全省林业应对气候变化工作的数据基础。</w:t>
      </w:r>
    </w:p>
    <w:bookmarkEnd w:id="6"/>
    <w:p w14:paraId="73DD61F4">
      <w:pPr>
        <w:pStyle w:val="3"/>
        <w:numPr>
          <w:ilvl w:val="0"/>
          <w:numId w:val="0"/>
        </w:numPr>
        <w:ind w:leftChars="0"/>
        <w:jc w:val="left"/>
        <w:rPr>
          <w:rFonts w:hint="eastAsia" w:ascii="楷体" w:hAnsi="楷体" w:eastAsia="楷体" w:cs="楷体"/>
          <w:sz w:val="32"/>
          <w:szCs w:val="32"/>
        </w:rPr>
      </w:pPr>
      <w:bookmarkStart w:id="7" w:name="二该技术研究现状"/>
      <w:r>
        <w:rPr>
          <w:rFonts w:hint="eastAsia" w:ascii="楷体" w:hAnsi="楷体" w:eastAsia="楷体" w:cs="楷体"/>
          <w:sz w:val="32"/>
          <w:szCs w:val="32"/>
        </w:rPr>
        <w:t>（二）该技术研究现状</w:t>
      </w:r>
    </w:p>
    <w:bookmarkEnd w:id="7"/>
    <w:p w14:paraId="13F6EBA1">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bookmarkStart w:id="8" w:name="三存在的问题"/>
      <w:r>
        <w:rPr>
          <w:rFonts w:hint="eastAsia" w:ascii="仿宋" w:hAnsi="仿宋" w:eastAsia="仿宋" w:cs="仿宋"/>
          <w:sz w:val="32"/>
          <w:szCs w:val="32"/>
          <w:lang w:val="en-US" w:eastAsia="zh-CN"/>
        </w:rPr>
        <w:t xml:space="preserve">伴随我国森林碳循环与林业碳汇研究持续推进，樟子松生物量、碳储量相关研究逐步积累，为开展碳储量估算奠定理论基础。现有研究主要集中在三个方面： 第一，立木生物量模型构建。国内学者针对不同区域樟子松建立多组单木异速生长方程，区分树干、树枝、树叶、根系等器官生物量估算模型，部分研究构建了基于胸径、树高二元相容性生物量模型，实现单木各组分生物量协调估算，为从森林资源清查蓄积量转换为生物量提供基础途径。但现有模型大多面向樟子松人工林构建，针对黑龙江省山地原生樟子松天然林的专用生物量模型仍然偏少。 第二，碳储量估算方法探索。当前森林碳储量主流估算手段包含蓄积量扩展法、野外样地实测法、遥感反演法、涡度通量观测法。蓄积量扩展法依托一类、二类森林资源调查数据，适合区域尺度批量估算；标准地收获实测法精度最高，常作为模型校准依据；无人机 LiDAR、多源卫星遥感技术逐步应用于大尺度碳储量空间制图。已有部分研究对内蒙古沙地樟子松天然林碳密度、空间分布开展评估，但研究对象以沙地型樟子松为主，难以直接移植应用于黑龙江山地樟子松天然林。 </w:t>
      </w:r>
    </w:p>
    <w:p w14:paraId="350FEF93">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总体来看，相关基础理论与单项技术已具备一定积累，但研究成果多散见于学术论文、专题调查，尚未转化为统一、可直接用于林业生产、资源监测、碳汇核算的标准化技术流程。现有研究成果缺乏系统性整合，没有形成针对黑龙江山地樟子松天然林全碳库估算的成套技术规范。</w:t>
      </w:r>
    </w:p>
    <w:p w14:paraId="44CD9EC8">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在标准制定方面，</w:t>
      </w:r>
      <w:r>
        <w:rPr>
          <w:rFonts w:hint="eastAsia" w:ascii="仿宋" w:hAnsi="仿宋" w:eastAsia="仿宋" w:cs="仿宋"/>
          <w:sz w:val="32"/>
          <w:szCs w:val="32"/>
        </w:rPr>
        <w:t>GB/T 43648—2024《</w:t>
      </w:r>
      <w:r>
        <w:rPr>
          <w:rFonts w:hint="eastAsia" w:ascii="仿宋" w:hAnsi="仿宋" w:eastAsia="仿宋" w:cs="仿宋"/>
          <w:sz w:val="32"/>
          <w:szCs w:val="32"/>
          <w:lang w:val="en-US" w:eastAsia="zh-CN"/>
        </w:rPr>
        <w:t>主要</w:t>
      </w:r>
      <w:r>
        <w:rPr>
          <w:rFonts w:hint="eastAsia" w:ascii="仿宋" w:hAnsi="仿宋" w:eastAsia="仿宋" w:cs="仿宋"/>
          <w:sz w:val="32"/>
          <w:szCs w:val="32"/>
        </w:rPr>
        <w:t>树种立木生物量模型与碳计量参数》已发布实施，将樟子松作为单独树种纳入，适用于全国范围内樟子松林木生物量与碳储量的计量。该标准给出了樟子松（总体I，涵盖辽宁、吉林、黑龙江、内蒙古东部地区）的地上生物量模型、地下生物量模型、生物量转换因子模型、相容性立木材积模型、根茎比模型及含碳系数等参数。LY/T 2259—2014《立木生物量建模样本采集技术规程》和LY/T 2258—2014《立木生物量建模方法技术规程》为生物量模型构建提供了方法学依据。</w:t>
      </w:r>
    </w:p>
    <w:p w14:paraId="0E4E2157">
      <w:pPr>
        <w:pStyle w:val="3"/>
        <w:numPr>
          <w:ilvl w:val="0"/>
          <w:numId w:val="0"/>
        </w:numPr>
        <w:ind w:leftChars="0"/>
        <w:jc w:val="left"/>
        <w:rPr>
          <w:rFonts w:hint="eastAsia" w:ascii="楷体" w:hAnsi="楷体" w:eastAsia="楷体" w:cs="楷体"/>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rPr>
        <w:t>存在的问题</w:t>
      </w:r>
    </w:p>
    <w:p w14:paraId="6EA5C00C">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1.缺少专门针对樟子松天然林的统一估算技术标准，方法选用随意性大</w:t>
      </w:r>
    </w:p>
    <w:p w14:paraId="3A420B69">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现行国家、行业森林碳储量相关标准以通用规范为主，适用于全部森林类型，未充分考虑樟子松生物学特性与黑龙江山地天然樟子松林群落特征。实际工作中，不同单位开展碳储量调查时选用方法不一：部分仅测算活立木地上碳库，忽略根系、林下植被、枯落物、粗木质残体、土壤碳库；有的直接套用南方针叶树种或内蒙古沙地樟子松参数、生物量模型，区域适用性不足；碳转换系数取值、土层采样深度、粗木质残体调查方法不统一，导致同一区域估算结果差异显著，数据之间无法横向对比，严重影响碳汇清单编制、碳汇项目核查工作公信力。</w:t>
      </w:r>
    </w:p>
    <w:p w14:paraId="6A57C6D7">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2.天然林与人工林估算参数混用，估算不确定性偏高</w:t>
      </w:r>
    </w:p>
    <w:p w14:paraId="46F29750">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当前大量樟子松生物量模型、碳转换参数建立于人工林观测样本。樟子松天然林林龄跨度更大、林分垂直结构复杂、存在大量老龄木与枯立木，立木形态、根茎比、林下有机质积累规律与人工林存在明显区别。直接移植人工林模型开展天然林碳储量估算，会引入系统性偏差。同时省内尚未形成本地化、可供行业统一使用的山地樟子松天然林分区生物量模型集与配套基础参数库。</w:t>
      </w:r>
    </w:p>
    <w:p w14:paraId="7F46AA7C">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3.调查、计算、质量控制流程缺乏标准化规定，成果可追溯性不足</w:t>
      </w:r>
    </w:p>
    <w:p w14:paraId="1765EEC0">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现有工作缺少从样地布设、野外调查、样品采集测试、生物量换算、碳储量计算到误差评估、成果质量检验的完整技术链条规范。野外调查样地规格、监测指标、重复数量、土壤剖面取样规范不统一；缺少明确的误差来源识别、不确定性评估方法；调查档案、原始数据、计算过程留存要求缺失，碳储量估算成果难以复核、溯源，无法满足温室气体清单编制、碳汇审定核证、自然资源资产核算等规范化管理需求。</w:t>
      </w:r>
    </w:p>
    <w:p w14:paraId="3449B71F">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4.难以支撑黑龙江省天然林保护、双碳目标落地与林业碳汇规范化管理</w:t>
      </w:r>
    </w:p>
    <w:p w14:paraId="049A9844">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黑龙江省是全国天然林资源大省，樟子松天然林是寒温带原生森林生态系统重要组成。在天然林保护修复、森林碳汇监测、森林生态系统服务价值评估、林业碳票与碳汇项目开发工作中，亟需一套契合本地实际、操作清晰的技术指南。由于缺少专项标准，各地碳储量评估口径不一，制约区域森林碳汇动态监测、增汇潜力研判，不利于科学制定天然林经营与保护政策，难以充分释放天然樟子松林生态碳汇价值。</w:t>
      </w:r>
    </w:p>
    <w:bookmarkEnd w:id="5"/>
    <w:bookmarkEnd w:id="8"/>
    <w:p w14:paraId="0F920615">
      <w:pPr>
        <w:pStyle w:val="3"/>
        <w:numPr>
          <w:ilvl w:val="0"/>
          <w:numId w:val="0"/>
        </w:numPr>
        <w:ind w:leftChars="0"/>
        <w:jc w:val="left"/>
        <w:rPr>
          <w:rFonts w:hint="eastAsia" w:ascii="黑体" w:hAnsi="黑体" w:eastAsia="黑体" w:cs="黑体"/>
          <w:sz w:val="32"/>
          <w:szCs w:val="32"/>
        </w:rPr>
      </w:pPr>
      <w:bookmarkStart w:id="9" w:name="三编制原则"/>
      <w:r>
        <w:rPr>
          <w:rFonts w:hint="eastAsia" w:ascii="黑体" w:hAnsi="黑体" w:eastAsia="黑体" w:cs="黑体"/>
          <w:sz w:val="32"/>
          <w:szCs w:val="32"/>
        </w:rPr>
        <w:t>三、编制原则</w:t>
      </w:r>
    </w:p>
    <w:p w14:paraId="6FEB2907">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标准编写</w:t>
      </w:r>
      <w:r>
        <w:rPr>
          <w:rFonts w:hint="eastAsia" w:ascii="仿宋" w:hAnsi="仿宋" w:eastAsia="仿宋" w:cs="仿宋"/>
          <w:sz w:val="32"/>
          <w:szCs w:val="32"/>
          <w:lang w:val="en-US" w:eastAsia="zh-CN"/>
        </w:rPr>
        <w:t>必须</w:t>
      </w:r>
      <w:r>
        <w:rPr>
          <w:rFonts w:hint="eastAsia" w:ascii="仿宋" w:hAnsi="仿宋" w:eastAsia="仿宋" w:cs="仿宋"/>
          <w:sz w:val="32"/>
          <w:szCs w:val="32"/>
        </w:rPr>
        <w:t>符合GB/T 1.1—2020《标准化工作导则 第1部分：标准化文件的结构和起草规则》。</w:t>
      </w:r>
    </w:p>
    <w:p w14:paraId="2AC578ED">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标准编写过程中遵循全面、科学、合理、可行的原则，与生产实践相结合，做到既先进又切实可行。</w:t>
      </w:r>
    </w:p>
    <w:p w14:paraId="15CB0C7D">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编制本标准</w:t>
      </w:r>
      <w:r>
        <w:rPr>
          <w:rFonts w:hint="eastAsia" w:ascii="仿宋" w:hAnsi="仿宋" w:eastAsia="仿宋" w:cs="仿宋"/>
          <w:sz w:val="32"/>
          <w:szCs w:val="32"/>
          <w:lang w:val="en-US" w:eastAsia="zh-CN"/>
        </w:rPr>
        <w:t>科学性</w:t>
      </w:r>
      <w:r>
        <w:rPr>
          <w:rFonts w:hint="eastAsia" w:ascii="仿宋" w:hAnsi="仿宋" w:eastAsia="仿宋" w:cs="仿宋"/>
          <w:sz w:val="32"/>
          <w:szCs w:val="32"/>
        </w:rPr>
        <w:t>和可操作性强，基于实测数据构建生物量模型，明确模型参数和含碳系数，便于基层应用。</w:t>
      </w:r>
      <w:bookmarkEnd w:id="9"/>
      <w:bookmarkStart w:id="10" w:name="四主要试验或验证的分析综述报告技术经济论证预期的经济效果"/>
    </w:p>
    <w:p w14:paraId="43BA075C">
      <w:pPr>
        <w:pStyle w:val="3"/>
        <w:numPr>
          <w:ilvl w:val="0"/>
          <w:numId w:val="1"/>
        </w:numPr>
        <w:ind w:left="0" w:leftChars="0" w:firstLine="0" w:firstLineChars="0"/>
        <w:jc w:val="left"/>
        <w:rPr>
          <w:rFonts w:hint="eastAsia" w:ascii="黑体" w:hAnsi="黑体" w:eastAsia="黑体" w:cs="黑体"/>
          <w:sz w:val="32"/>
          <w:szCs w:val="32"/>
        </w:rPr>
      </w:pPr>
      <w:r>
        <w:rPr>
          <w:rFonts w:hint="eastAsia" w:ascii="黑体" w:hAnsi="黑体" w:eastAsia="黑体" w:cs="黑体"/>
          <w:sz w:val="32"/>
          <w:szCs w:val="32"/>
        </w:rPr>
        <w:t>主要试验（或验证）的分析、综述报告，技术经济论证，预期的经济效果</w:t>
      </w:r>
      <w:bookmarkStart w:id="11" w:name="一主要试验分析"/>
    </w:p>
    <w:p w14:paraId="1A43E2CF">
      <w:pPr>
        <w:pStyle w:val="3"/>
        <w:numPr>
          <w:ilvl w:val="0"/>
          <w:numId w:val="3"/>
        </w:numPr>
        <w:ind w:leftChars="0"/>
        <w:jc w:val="left"/>
        <w:rPr>
          <w:rFonts w:hint="eastAsia" w:ascii="楷体" w:hAnsi="楷体" w:eastAsia="楷体" w:cs="楷体"/>
          <w:sz w:val="32"/>
          <w:szCs w:val="32"/>
        </w:rPr>
      </w:pPr>
      <w:r>
        <w:rPr>
          <w:rFonts w:hint="eastAsia" w:ascii="楷体" w:hAnsi="楷体" w:eastAsia="楷体" w:cs="楷体"/>
          <w:sz w:val="32"/>
          <w:szCs w:val="32"/>
        </w:rPr>
        <w:t>主要试验分析</w:t>
      </w:r>
      <w:bookmarkStart w:id="12" w:name="数据采集"/>
    </w:p>
    <w:bookmarkEnd w:id="12"/>
    <w:p w14:paraId="67DAA3E5">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left"/>
        <w:textAlignment w:val="auto"/>
        <w:rPr>
          <w:rFonts w:hint="eastAsia" w:ascii="仿宋" w:hAnsi="仿宋" w:eastAsia="仿宋" w:cs="仿宋"/>
          <w:sz w:val="32"/>
          <w:szCs w:val="32"/>
        </w:rPr>
      </w:pPr>
      <w:bookmarkStart w:id="13" w:name="生物量模型构建"/>
      <w:r>
        <w:rPr>
          <w:rFonts w:hint="eastAsia" w:ascii="仿宋" w:hAnsi="仿宋" w:eastAsia="仿宋" w:cs="仿宋"/>
          <w:sz w:val="32"/>
          <w:szCs w:val="32"/>
        </w:rPr>
        <w:t>1.</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数据采集</w:t>
      </w:r>
    </w:p>
    <w:p w14:paraId="490E4767">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本标准中模型构建的数据采集工作在黑龙江省林区内进行。采集范围涵盖大兴安岭林区、小兴安岭林区和张广才岭、完达山林区三个次级林区，对区域内樟子松天然林各部位的生物量、含碳量等指标进行统计调查。共采集有效样本270余条，胸径范围覆盖2.15～43.5 cm，树高范围覆盖1.7～24 m，涵盖幼龄林至过熟林各龄组，数据代表性良好。经数据质量筛选和异常值剔除，各模型有效样本数分别为：地上生物量模型1</w:t>
      </w:r>
      <w:r>
        <w:rPr>
          <w:rFonts w:hint="eastAsia" w:ascii="仿宋" w:hAnsi="仿宋" w:eastAsia="仿宋" w:cs="仿宋"/>
          <w:sz w:val="32"/>
          <w:szCs w:val="32"/>
          <w:lang w:val="en-US" w:eastAsia="zh-CN"/>
        </w:rPr>
        <w:t>2</w:t>
      </w:r>
      <w:r>
        <w:rPr>
          <w:rFonts w:hint="eastAsia" w:ascii="仿宋" w:hAnsi="仿宋" w:eastAsia="仿宋" w:cs="仿宋"/>
          <w:sz w:val="32"/>
          <w:szCs w:val="32"/>
        </w:rPr>
        <w:t>6株，地下生物量模型</w:t>
      </w:r>
      <w:r>
        <w:rPr>
          <w:rFonts w:hint="eastAsia" w:ascii="仿宋" w:hAnsi="仿宋" w:eastAsia="仿宋" w:cs="仿宋"/>
          <w:sz w:val="32"/>
          <w:szCs w:val="32"/>
          <w:lang w:val="en-US" w:eastAsia="zh-CN"/>
        </w:rPr>
        <w:t>98</w:t>
      </w:r>
      <w:r>
        <w:rPr>
          <w:rFonts w:hint="eastAsia" w:ascii="仿宋" w:hAnsi="仿宋" w:eastAsia="仿宋" w:cs="仿宋"/>
          <w:sz w:val="32"/>
          <w:szCs w:val="32"/>
        </w:rPr>
        <w:t>株，相容性生物量模型</w:t>
      </w:r>
      <w:r>
        <w:rPr>
          <w:rFonts w:hint="eastAsia" w:ascii="仿宋" w:hAnsi="仿宋" w:eastAsia="仿宋" w:cs="仿宋"/>
          <w:sz w:val="32"/>
          <w:szCs w:val="32"/>
          <w:lang w:val="en-US" w:eastAsia="zh-CN"/>
        </w:rPr>
        <w:t>85</w:t>
      </w:r>
      <w:r>
        <w:rPr>
          <w:rFonts w:hint="eastAsia" w:ascii="仿宋" w:hAnsi="仿宋" w:eastAsia="仿宋" w:cs="仿宋"/>
          <w:sz w:val="32"/>
          <w:szCs w:val="32"/>
        </w:rPr>
        <w:t>株，含碳系数测定3</w:t>
      </w:r>
      <w:r>
        <w:rPr>
          <w:rFonts w:hint="eastAsia" w:ascii="仿宋" w:hAnsi="仿宋" w:eastAsia="仿宋" w:cs="仿宋"/>
          <w:sz w:val="32"/>
          <w:szCs w:val="32"/>
          <w:lang w:val="en-US" w:eastAsia="zh-CN"/>
        </w:rPr>
        <w:t>7</w:t>
      </w:r>
      <w:r>
        <w:rPr>
          <w:rFonts w:hint="eastAsia" w:ascii="仿宋" w:hAnsi="仿宋" w:eastAsia="仿宋" w:cs="仿宋"/>
          <w:sz w:val="32"/>
          <w:szCs w:val="32"/>
        </w:rPr>
        <w:t>株。</w:t>
      </w:r>
    </w:p>
    <w:p w14:paraId="50D87C5F">
      <w:pPr>
        <w:pStyle w:val="26"/>
        <w:numPr>
          <w:ilvl w:val="0"/>
          <w:numId w:val="0"/>
        </w:numPr>
        <w:ind w:leftChars="0"/>
        <w:jc w:val="left"/>
        <w:rPr>
          <w:rFonts w:hint="eastAsia" w:ascii="仿宋" w:hAnsi="仿宋" w:eastAsia="仿宋" w:cs="仿宋"/>
          <w:b w:val="0"/>
          <w:bCs w:val="0"/>
          <w:i w:val="0"/>
          <w:iCs w:val="0"/>
          <w:color w:val="auto"/>
          <w:sz w:val="32"/>
          <w:szCs w:val="32"/>
        </w:rPr>
      </w:pPr>
      <w:r>
        <w:rPr>
          <w:rFonts w:hint="eastAsia" w:ascii="仿宋" w:hAnsi="仿宋" w:eastAsia="仿宋" w:cs="仿宋"/>
          <w:b w:val="0"/>
          <w:bCs w:val="0"/>
          <w:i w:val="0"/>
          <w:iCs w:val="0"/>
          <w:color w:val="auto"/>
          <w:sz w:val="32"/>
          <w:szCs w:val="32"/>
        </w:rPr>
        <w:t>2. 生物量模型构建</w:t>
      </w:r>
    </w:p>
    <w:p w14:paraId="505CCEB8">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bookmarkStart w:id="14" w:name="_Toc14050"/>
      <w:r>
        <w:rPr>
          <w:rFonts w:hint="eastAsia" w:ascii="仿宋" w:hAnsi="仿宋" w:eastAsia="仿宋" w:cs="仿宋"/>
          <w:sz w:val="32"/>
          <w:szCs w:val="32"/>
          <w:lang w:val="en-US" w:eastAsia="zh-CN"/>
        </w:rPr>
        <w:t>本研究采用幂函数模型形式，分别构建了樟子松天然林立木的地上和地下二元生物量模型：</w:t>
      </w:r>
    </w:p>
    <w:p w14:paraId="08351B5C">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二元生物量模型</w:t>
      </w:r>
      <w:bookmarkEnd w:id="14"/>
    </w:p>
    <w:p w14:paraId="2DE54197">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left"/>
        <w:textAlignment w:val="auto"/>
        <w:rPr>
          <w:rFonts w:hint="eastAsia" w:ascii="仿宋" w:hAnsi="仿宋" w:eastAsia="仿宋" w:cs="仿宋"/>
          <w:sz w:val="32"/>
          <w:szCs w:val="32"/>
        </w:rPr>
      </w:pPr>
      <m:oMathPara>
        <m:oMath>
          <m:sSub>
            <m:sSubPr>
              <m:ctrlPr>
                <w:rPr>
                  <w:rFonts w:hint="eastAsia" w:ascii="Cambria Math" w:hAnsi="Cambria Math" w:eastAsia="仿宋" w:cs="仿宋"/>
                  <w:sz w:val="32"/>
                  <w:szCs w:val="32"/>
                </w:rPr>
              </m:ctrlPr>
            </m:sSubPr>
            <m:e>
              <m:r>
                <m:rPr>
                  <m:sty m:val="p"/>
                </m:rPr>
                <w:rPr>
                  <w:rFonts w:hint="eastAsia" w:ascii="Cambria Math" w:hAnsi="Cambria Math" w:eastAsia="仿宋" w:cs="仿宋"/>
                  <w:sz w:val="32"/>
                  <w:szCs w:val="32"/>
                </w:rPr>
                <m:t>M</m:t>
              </m:r>
              <m:ctrlPr>
                <w:rPr>
                  <w:rFonts w:hint="eastAsia" w:ascii="Cambria Math" w:hAnsi="Cambria Math" w:eastAsia="仿宋" w:cs="仿宋"/>
                  <w:sz w:val="32"/>
                  <w:szCs w:val="32"/>
                </w:rPr>
              </m:ctrlPr>
            </m:e>
            <m:sub>
              <m:r>
                <m:rPr>
                  <m:sty m:val="p"/>
                </m:rPr>
                <w:rPr>
                  <w:rFonts w:hint="eastAsia" w:ascii="Cambria Math" w:hAnsi="Cambria Math" w:eastAsia="仿宋" w:cs="仿宋"/>
                  <w:sz w:val="32"/>
                  <w:szCs w:val="32"/>
                </w:rPr>
                <m:t>A</m:t>
              </m:r>
              <m:ctrlPr>
                <w:rPr>
                  <w:rFonts w:hint="eastAsia" w:ascii="Cambria Math" w:hAnsi="Cambria Math" w:eastAsia="仿宋" w:cs="仿宋"/>
                  <w:sz w:val="32"/>
                  <w:szCs w:val="32"/>
                </w:rPr>
              </m:ctrlPr>
            </m:sub>
          </m:sSub>
          <m:r>
            <m:rPr>
              <m:sty m:val="p"/>
            </m:rPr>
            <w:rPr>
              <w:rFonts w:hint="eastAsia" w:ascii="Cambria Math" w:hAnsi="Cambria Math" w:eastAsia="仿宋" w:cs="仿宋"/>
              <w:sz w:val="32"/>
              <w:szCs w:val="32"/>
            </w:rPr>
            <m:t>=</m:t>
          </m:r>
          <m:sSub>
            <m:sSubPr>
              <m:ctrlPr>
                <w:rPr>
                  <w:rFonts w:hint="eastAsia" w:ascii="Cambria Math" w:hAnsi="Cambria Math" w:eastAsia="仿宋" w:cs="仿宋"/>
                  <w:sz w:val="32"/>
                  <w:szCs w:val="32"/>
                </w:rPr>
              </m:ctrlPr>
            </m:sSubPr>
            <m:e>
              <m:r>
                <m:rPr>
                  <m:sty m:val="p"/>
                </m:rPr>
                <w:rPr>
                  <w:rFonts w:hint="eastAsia" w:ascii="Cambria Math" w:hAnsi="Cambria Math" w:eastAsia="仿宋" w:cs="仿宋"/>
                  <w:sz w:val="32"/>
                  <w:szCs w:val="32"/>
                </w:rPr>
                <m:t>a</m:t>
              </m:r>
              <m:ctrlPr>
                <w:rPr>
                  <w:rFonts w:hint="eastAsia" w:ascii="Cambria Math" w:hAnsi="Cambria Math" w:eastAsia="仿宋" w:cs="仿宋"/>
                  <w:sz w:val="32"/>
                  <w:szCs w:val="32"/>
                </w:rPr>
              </m:ctrlPr>
            </m:e>
            <m:sub>
              <m:r>
                <m:rPr>
                  <m:sty m:val="p"/>
                </m:rPr>
                <w:rPr>
                  <w:rFonts w:hint="eastAsia" w:ascii="Cambria Math" w:hAnsi="Cambria Math" w:eastAsia="仿宋" w:cs="仿宋"/>
                  <w:sz w:val="32"/>
                  <w:szCs w:val="32"/>
                </w:rPr>
                <m:t>0</m:t>
              </m:r>
              <m:ctrlPr>
                <w:rPr>
                  <w:rFonts w:hint="eastAsia" w:ascii="Cambria Math" w:hAnsi="Cambria Math" w:eastAsia="仿宋" w:cs="仿宋"/>
                  <w:sz w:val="32"/>
                  <w:szCs w:val="32"/>
                </w:rPr>
              </m:ctrlPr>
            </m:sub>
          </m:sSub>
          <m:sSup>
            <m:sSupPr>
              <m:ctrlPr>
                <w:rPr>
                  <w:rFonts w:hint="eastAsia" w:ascii="Cambria Math" w:hAnsi="Cambria Math" w:eastAsia="仿宋" w:cs="仿宋"/>
                  <w:sz w:val="32"/>
                  <w:szCs w:val="32"/>
                </w:rPr>
              </m:ctrlPr>
            </m:sSupPr>
            <m:e>
              <m:r>
                <m:rPr>
                  <m:sty m:val="p"/>
                </m:rPr>
                <w:rPr>
                  <w:rFonts w:hint="eastAsia" w:ascii="Cambria Math" w:hAnsi="Cambria Math" w:eastAsia="仿宋" w:cs="仿宋"/>
                  <w:sz w:val="32"/>
                  <w:szCs w:val="32"/>
                </w:rPr>
                <m:t>D</m:t>
              </m:r>
              <m:ctrlPr>
                <w:rPr>
                  <w:rFonts w:hint="eastAsia" w:ascii="Cambria Math" w:hAnsi="Cambria Math" w:eastAsia="仿宋" w:cs="仿宋"/>
                  <w:sz w:val="32"/>
                  <w:szCs w:val="32"/>
                </w:rPr>
              </m:ctrlPr>
            </m:e>
            <m:sup>
              <m:sSub>
                <m:sSubPr>
                  <m:ctrlPr>
                    <w:rPr>
                      <w:rFonts w:hint="eastAsia" w:ascii="Cambria Math" w:hAnsi="Cambria Math" w:eastAsia="仿宋" w:cs="仿宋"/>
                      <w:sz w:val="32"/>
                      <w:szCs w:val="32"/>
                    </w:rPr>
                  </m:ctrlPr>
                </m:sSubPr>
                <m:e>
                  <m:r>
                    <m:rPr>
                      <m:sty m:val="p"/>
                    </m:rPr>
                    <w:rPr>
                      <w:rFonts w:hint="eastAsia" w:ascii="Cambria Math" w:hAnsi="Cambria Math" w:eastAsia="仿宋" w:cs="仿宋"/>
                      <w:sz w:val="32"/>
                      <w:szCs w:val="32"/>
                    </w:rPr>
                    <m:t>a</m:t>
                  </m:r>
                  <m:ctrlPr>
                    <w:rPr>
                      <w:rFonts w:hint="eastAsia" w:ascii="Cambria Math" w:hAnsi="Cambria Math" w:eastAsia="仿宋" w:cs="仿宋"/>
                      <w:sz w:val="32"/>
                      <w:szCs w:val="32"/>
                    </w:rPr>
                  </m:ctrlPr>
                </m:e>
                <m:sub>
                  <m:r>
                    <m:rPr>
                      <m:sty m:val="p"/>
                    </m:rPr>
                    <w:rPr>
                      <w:rFonts w:hint="eastAsia" w:ascii="Cambria Math" w:hAnsi="Cambria Math" w:eastAsia="仿宋" w:cs="仿宋"/>
                      <w:sz w:val="32"/>
                      <w:szCs w:val="32"/>
                    </w:rPr>
                    <m:t>1</m:t>
                  </m:r>
                  <m:ctrlPr>
                    <w:rPr>
                      <w:rFonts w:hint="eastAsia" w:ascii="Cambria Math" w:hAnsi="Cambria Math" w:eastAsia="仿宋" w:cs="仿宋"/>
                      <w:sz w:val="32"/>
                      <w:szCs w:val="32"/>
                    </w:rPr>
                  </m:ctrlPr>
                </m:sub>
              </m:sSub>
              <m:ctrlPr>
                <w:rPr>
                  <w:rFonts w:hint="eastAsia" w:ascii="Cambria Math" w:hAnsi="Cambria Math" w:eastAsia="仿宋" w:cs="仿宋"/>
                  <w:sz w:val="32"/>
                  <w:szCs w:val="32"/>
                </w:rPr>
              </m:ctrlPr>
            </m:sup>
          </m:sSup>
          <m:sSup>
            <m:sSupPr>
              <m:ctrlPr>
                <w:rPr>
                  <w:rFonts w:hint="eastAsia" w:ascii="Cambria Math" w:hAnsi="Cambria Math" w:eastAsia="仿宋" w:cs="仿宋"/>
                  <w:sz w:val="32"/>
                  <w:szCs w:val="32"/>
                </w:rPr>
              </m:ctrlPr>
            </m:sSupPr>
            <m:e>
              <m:r>
                <m:rPr>
                  <m:sty m:val="p"/>
                </m:rPr>
                <w:rPr>
                  <w:rFonts w:hint="eastAsia" w:ascii="Cambria Math" w:hAnsi="Cambria Math" w:eastAsia="仿宋" w:cs="仿宋"/>
                  <w:sz w:val="32"/>
                  <w:szCs w:val="32"/>
                </w:rPr>
                <m:t>H</m:t>
              </m:r>
              <m:ctrlPr>
                <w:rPr>
                  <w:rFonts w:hint="eastAsia" w:ascii="Cambria Math" w:hAnsi="Cambria Math" w:eastAsia="仿宋" w:cs="仿宋"/>
                  <w:sz w:val="32"/>
                  <w:szCs w:val="32"/>
                </w:rPr>
              </m:ctrlPr>
            </m:e>
            <m:sup>
              <m:sSub>
                <m:sSubPr>
                  <m:ctrlPr>
                    <w:rPr>
                      <w:rFonts w:hint="eastAsia" w:ascii="Cambria Math" w:hAnsi="Cambria Math" w:eastAsia="仿宋" w:cs="仿宋"/>
                      <w:sz w:val="32"/>
                      <w:szCs w:val="32"/>
                    </w:rPr>
                  </m:ctrlPr>
                </m:sSubPr>
                <m:e>
                  <m:r>
                    <m:rPr>
                      <m:sty m:val="p"/>
                    </m:rPr>
                    <w:rPr>
                      <w:rFonts w:hint="eastAsia" w:ascii="Cambria Math" w:hAnsi="Cambria Math" w:eastAsia="仿宋" w:cs="仿宋"/>
                      <w:sz w:val="32"/>
                      <w:szCs w:val="32"/>
                    </w:rPr>
                    <m:t>a</m:t>
                  </m:r>
                  <m:ctrlPr>
                    <w:rPr>
                      <w:rFonts w:hint="eastAsia" w:ascii="Cambria Math" w:hAnsi="Cambria Math" w:eastAsia="仿宋" w:cs="仿宋"/>
                      <w:sz w:val="32"/>
                      <w:szCs w:val="32"/>
                    </w:rPr>
                  </m:ctrlPr>
                </m:e>
                <m:sub>
                  <m:r>
                    <m:rPr>
                      <m:sty m:val="p"/>
                    </m:rPr>
                    <w:rPr>
                      <w:rFonts w:hint="eastAsia" w:ascii="Cambria Math" w:hAnsi="Cambria Math" w:eastAsia="仿宋" w:cs="仿宋"/>
                      <w:sz w:val="32"/>
                      <w:szCs w:val="32"/>
                    </w:rPr>
                    <m:t>2</m:t>
                  </m:r>
                  <m:ctrlPr>
                    <w:rPr>
                      <w:rFonts w:hint="eastAsia" w:ascii="Cambria Math" w:hAnsi="Cambria Math" w:eastAsia="仿宋" w:cs="仿宋"/>
                      <w:sz w:val="32"/>
                      <w:szCs w:val="32"/>
                    </w:rPr>
                  </m:ctrlPr>
                </m:sub>
              </m:sSub>
              <m:ctrlPr>
                <w:rPr>
                  <w:rFonts w:hint="eastAsia" w:ascii="Cambria Math" w:hAnsi="Cambria Math" w:eastAsia="仿宋" w:cs="仿宋"/>
                  <w:sz w:val="32"/>
                  <w:szCs w:val="32"/>
                </w:rPr>
              </m:ctrlPr>
            </m:sup>
          </m:sSup>
        </m:oMath>
      </m:oMathPara>
    </w:p>
    <w:p w14:paraId="243EA250">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left"/>
        <w:textAlignment w:val="auto"/>
        <w:rPr>
          <w:rFonts w:hint="eastAsia" w:hAnsi="Cambria Math" w:eastAsia="仿宋" w:cs="仿宋"/>
          <w:i w:val="0"/>
          <w:sz w:val="32"/>
          <w:szCs w:val="32"/>
        </w:rPr>
      </w:pPr>
      <m:oMathPara>
        <m:oMath>
          <m:sSub>
            <m:sSubPr>
              <m:ctrlPr>
                <w:rPr>
                  <w:rFonts w:hint="eastAsia" w:ascii="Cambria Math" w:hAnsi="Cambria Math" w:eastAsia="仿宋" w:cs="仿宋"/>
                  <w:sz w:val="32"/>
                  <w:szCs w:val="32"/>
                </w:rPr>
              </m:ctrlPr>
            </m:sSubPr>
            <m:e>
              <m:r>
                <m:rPr>
                  <m:sty m:val="p"/>
                </m:rPr>
                <w:rPr>
                  <w:rFonts w:hint="eastAsia" w:ascii="Cambria Math" w:hAnsi="Cambria Math" w:eastAsia="仿宋" w:cs="仿宋"/>
                  <w:sz w:val="32"/>
                  <w:szCs w:val="32"/>
                </w:rPr>
                <m:t>M</m:t>
              </m:r>
              <m:ctrlPr>
                <w:rPr>
                  <w:rFonts w:hint="eastAsia" w:ascii="Cambria Math" w:hAnsi="Cambria Math" w:eastAsia="仿宋" w:cs="仿宋"/>
                  <w:sz w:val="32"/>
                  <w:szCs w:val="32"/>
                </w:rPr>
              </m:ctrlPr>
            </m:e>
            <m:sub>
              <m:r>
                <m:rPr>
                  <m:sty m:val="p"/>
                </m:rPr>
                <w:rPr>
                  <w:rFonts w:hint="eastAsia" w:ascii="Cambria Math" w:hAnsi="Cambria Math" w:eastAsia="仿宋" w:cs="仿宋"/>
                  <w:sz w:val="32"/>
                  <w:szCs w:val="32"/>
                </w:rPr>
                <m:t>B</m:t>
              </m:r>
              <m:ctrlPr>
                <w:rPr>
                  <w:rFonts w:hint="eastAsia" w:ascii="Cambria Math" w:hAnsi="Cambria Math" w:eastAsia="仿宋" w:cs="仿宋"/>
                  <w:sz w:val="32"/>
                  <w:szCs w:val="32"/>
                </w:rPr>
              </m:ctrlPr>
            </m:sub>
          </m:sSub>
          <m:r>
            <m:rPr>
              <m:sty m:val="p"/>
            </m:rPr>
            <w:rPr>
              <w:rFonts w:hint="eastAsia" w:ascii="Cambria Math" w:hAnsi="Cambria Math" w:eastAsia="仿宋" w:cs="仿宋"/>
              <w:sz w:val="32"/>
              <w:szCs w:val="32"/>
            </w:rPr>
            <m:t>=</m:t>
          </m:r>
          <m:sSub>
            <m:sSubPr>
              <m:ctrlPr>
                <w:rPr>
                  <w:rFonts w:hint="eastAsia" w:ascii="Cambria Math" w:hAnsi="Cambria Math" w:eastAsia="仿宋" w:cs="仿宋"/>
                  <w:sz w:val="32"/>
                  <w:szCs w:val="32"/>
                </w:rPr>
              </m:ctrlPr>
            </m:sSubPr>
            <m:e>
              <m:r>
                <m:rPr>
                  <m:sty m:val="p"/>
                </m:rPr>
                <w:rPr>
                  <w:rFonts w:hint="eastAsia" w:ascii="Cambria Math" w:hAnsi="Cambria Math" w:eastAsia="仿宋" w:cs="仿宋"/>
                  <w:sz w:val="32"/>
                  <w:szCs w:val="32"/>
                </w:rPr>
                <m:t>b</m:t>
              </m:r>
              <m:ctrlPr>
                <w:rPr>
                  <w:rFonts w:hint="eastAsia" w:ascii="Cambria Math" w:hAnsi="Cambria Math" w:eastAsia="仿宋" w:cs="仿宋"/>
                  <w:sz w:val="32"/>
                  <w:szCs w:val="32"/>
                </w:rPr>
              </m:ctrlPr>
            </m:e>
            <m:sub>
              <m:r>
                <m:rPr>
                  <m:sty m:val="p"/>
                </m:rPr>
                <w:rPr>
                  <w:rFonts w:hint="eastAsia" w:ascii="Cambria Math" w:hAnsi="Cambria Math" w:eastAsia="仿宋" w:cs="仿宋"/>
                  <w:sz w:val="32"/>
                  <w:szCs w:val="32"/>
                </w:rPr>
                <m:t>0</m:t>
              </m:r>
              <m:ctrlPr>
                <w:rPr>
                  <w:rFonts w:hint="eastAsia" w:ascii="Cambria Math" w:hAnsi="Cambria Math" w:eastAsia="仿宋" w:cs="仿宋"/>
                  <w:sz w:val="32"/>
                  <w:szCs w:val="32"/>
                </w:rPr>
              </m:ctrlPr>
            </m:sub>
          </m:sSub>
          <m:sSup>
            <m:sSupPr>
              <m:ctrlPr>
                <w:rPr>
                  <w:rFonts w:hint="eastAsia" w:ascii="Cambria Math" w:hAnsi="Cambria Math" w:eastAsia="仿宋" w:cs="仿宋"/>
                  <w:sz w:val="32"/>
                  <w:szCs w:val="32"/>
                </w:rPr>
              </m:ctrlPr>
            </m:sSupPr>
            <m:e>
              <m:r>
                <m:rPr>
                  <m:sty m:val="p"/>
                </m:rPr>
                <w:rPr>
                  <w:rFonts w:hint="eastAsia" w:ascii="Cambria Math" w:hAnsi="Cambria Math" w:eastAsia="仿宋" w:cs="仿宋"/>
                  <w:sz w:val="32"/>
                  <w:szCs w:val="32"/>
                </w:rPr>
                <m:t>D</m:t>
              </m:r>
              <m:ctrlPr>
                <w:rPr>
                  <w:rFonts w:hint="eastAsia" w:ascii="Cambria Math" w:hAnsi="Cambria Math" w:eastAsia="仿宋" w:cs="仿宋"/>
                  <w:sz w:val="32"/>
                  <w:szCs w:val="32"/>
                </w:rPr>
              </m:ctrlPr>
            </m:e>
            <m:sup>
              <m:sSub>
                <m:sSubPr>
                  <m:ctrlPr>
                    <w:rPr>
                      <w:rFonts w:hint="eastAsia" w:ascii="Cambria Math" w:hAnsi="Cambria Math" w:eastAsia="仿宋" w:cs="仿宋"/>
                      <w:sz w:val="32"/>
                      <w:szCs w:val="32"/>
                    </w:rPr>
                  </m:ctrlPr>
                </m:sSubPr>
                <m:e>
                  <m:r>
                    <m:rPr>
                      <m:sty m:val="p"/>
                    </m:rPr>
                    <w:rPr>
                      <w:rFonts w:hint="eastAsia" w:ascii="Cambria Math" w:hAnsi="Cambria Math" w:eastAsia="仿宋" w:cs="仿宋"/>
                      <w:sz w:val="32"/>
                      <w:szCs w:val="32"/>
                    </w:rPr>
                    <m:t>b</m:t>
                  </m:r>
                  <m:ctrlPr>
                    <w:rPr>
                      <w:rFonts w:hint="eastAsia" w:ascii="Cambria Math" w:hAnsi="Cambria Math" w:eastAsia="仿宋" w:cs="仿宋"/>
                      <w:sz w:val="32"/>
                      <w:szCs w:val="32"/>
                    </w:rPr>
                  </m:ctrlPr>
                </m:e>
                <m:sub>
                  <m:r>
                    <m:rPr>
                      <m:sty m:val="p"/>
                    </m:rPr>
                    <w:rPr>
                      <w:rFonts w:hint="eastAsia" w:ascii="Cambria Math" w:hAnsi="Cambria Math" w:eastAsia="仿宋" w:cs="仿宋"/>
                      <w:sz w:val="32"/>
                      <w:szCs w:val="32"/>
                    </w:rPr>
                    <m:t>1</m:t>
                  </m:r>
                  <m:ctrlPr>
                    <w:rPr>
                      <w:rFonts w:hint="eastAsia" w:ascii="Cambria Math" w:hAnsi="Cambria Math" w:eastAsia="仿宋" w:cs="仿宋"/>
                      <w:sz w:val="32"/>
                      <w:szCs w:val="32"/>
                    </w:rPr>
                  </m:ctrlPr>
                </m:sub>
              </m:sSub>
              <m:ctrlPr>
                <w:rPr>
                  <w:rFonts w:hint="eastAsia" w:ascii="Cambria Math" w:hAnsi="Cambria Math" w:eastAsia="仿宋" w:cs="仿宋"/>
                  <w:sz w:val="32"/>
                  <w:szCs w:val="32"/>
                </w:rPr>
              </m:ctrlPr>
            </m:sup>
          </m:sSup>
          <m:sSup>
            <m:sSupPr>
              <m:ctrlPr>
                <w:rPr>
                  <w:rFonts w:hint="eastAsia" w:ascii="Cambria Math" w:hAnsi="Cambria Math" w:eastAsia="仿宋" w:cs="仿宋"/>
                  <w:sz w:val="32"/>
                  <w:szCs w:val="32"/>
                </w:rPr>
              </m:ctrlPr>
            </m:sSupPr>
            <m:e>
              <m:r>
                <m:rPr>
                  <m:sty m:val="p"/>
                </m:rPr>
                <w:rPr>
                  <w:rFonts w:hint="eastAsia" w:ascii="Cambria Math" w:hAnsi="Cambria Math" w:eastAsia="仿宋" w:cs="仿宋"/>
                  <w:sz w:val="32"/>
                  <w:szCs w:val="32"/>
                </w:rPr>
                <m:t>H</m:t>
              </m:r>
              <m:ctrlPr>
                <w:rPr>
                  <w:rFonts w:hint="eastAsia" w:ascii="Cambria Math" w:hAnsi="Cambria Math" w:eastAsia="仿宋" w:cs="仿宋"/>
                  <w:sz w:val="32"/>
                  <w:szCs w:val="32"/>
                </w:rPr>
              </m:ctrlPr>
            </m:e>
            <m:sup>
              <m:sSub>
                <m:sSubPr>
                  <m:ctrlPr>
                    <w:rPr>
                      <w:rFonts w:hint="eastAsia" w:ascii="Cambria Math" w:hAnsi="Cambria Math" w:eastAsia="仿宋" w:cs="仿宋"/>
                      <w:sz w:val="32"/>
                      <w:szCs w:val="32"/>
                    </w:rPr>
                  </m:ctrlPr>
                </m:sSubPr>
                <m:e>
                  <m:r>
                    <m:rPr>
                      <m:sty m:val="p"/>
                    </m:rPr>
                    <w:rPr>
                      <w:rFonts w:hint="eastAsia" w:ascii="Cambria Math" w:hAnsi="Cambria Math" w:eastAsia="仿宋" w:cs="仿宋"/>
                      <w:sz w:val="32"/>
                      <w:szCs w:val="32"/>
                    </w:rPr>
                    <m:t>b</m:t>
                  </m:r>
                  <m:ctrlPr>
                    <w:rPr>
                      <w:rFonts w:hint="eastAsia" w:ascii="Cambria Math" w:hAnsi="Cambria Math" w:eastAsia="仿宋" w:cs="仿宋"/>
                      <w:sz w:val="32"/>
                      <w:szCs w:val="32"/>
                    </w:rPr>
                  </m:ctrlPr>
                </m:e>
                <m:sub>
                  <m:r>
                    <m:rPr>
                      <m:sty m:val="p"/>
                    </m:rPr>
                    <w:rPr>
                      <w:rFonts w:hint="eastAsia" w:ascii="Cambria Math" w:hAnsi="Cambria Math" w:eastAsia="仿宋" w:cs="仿宋"/>
                      <w:sz w:val="32"/>
                      <w:szCs w:val="32"/>
                    </w:rPr>
                    <m:t>2</m:t>
                  </m:r>
                  <m:ctrlPr>
                    <w:rPr>
                      <w:rFonts w:hint="eastAsia" w:ascii="Cambria Math" w:hAnsi="Cambria Math" w:eastAsia="仿宋" w:cs="仿宋"/>
                      <w:sz w:val="32"/>
                      <w:szCs w:val="32"/>
                    </w:rPr>
                  </m:ctrlPr>
                </m:sub>
              </m:sSub>
              <m:ctrlPr>
                <w:rPr>
                  <w:rFonts w:hint="eastAsia" w:ascii="Cambria Math" w:hAnsi="Cambria Math" w:eastAsia="仿宋" w:cs="仿宋"/>
                  <w:sz w:val="32"/>
                  <w:szCs w:val="32"/>
                </w:rPr>
              </m:ctrlPr>
            </m:sup>
          </m:sSup>
        </m:oMath>
      </m:oMathPara>
    </w:p>
    <w:p w14:paraId="2DF726CE">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式中：</w:t>
      </w:r>
    </w:p>
    <w:p w14:paraId="7D987F54">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MA——地上生物量估计值，单位为千克（kg）；</w:t>
      </w:r>
    </w:p>
    <w:p w14:paraId="5E59B931">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MB——地上生物量估计值，单位为千克（kg）；</w:t>
      </w:r>
    </w:p>
    <w:p w14:paraId="33227A6C">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D ——立木胸径，单位为里面（cm）；</w:t>
      </w:r>
    </w:p>
    <w:p w14:paraId="4CBF511C">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H ——立木树高，单位为米（m）；</w:t>
      </w:r>
    </w:p>
    <w:p w14:paraId="62976AC6">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a0、a1、a2、b0、b1、b2、——模型参数。</w:t>
      </w:r>
    </w:p>
    <w:bookmarkEnd w:id="13"/>
    <w:p w14:paraId="7E4FA546">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bookmarkStart w:id="15" w:name="模型参数估计结果"/>
      <w:r>
        <w:rPr>
          <w:rFonts w:hint="eastAsia" w:ascii="仿宋" w:hAnsi="仿宋" w:eastAsia="仿宋" w:cs="仿宋"/>
          <w:sz w:val="32"/>
          <w:szCs w:val="32"/>
          <w:lang w:val="en-US" w:eastAsia="zh-CN"/>
        </w:rPr>
        <w:t>相容性生物量模型（联立方程组）：采用非线性联立方程组拟合树干、树枝、树叶、树根及总生物量，确保各组分满足可加性。</w:t>
      </w:r>
    </w:p>
    <w:p w14:paraId="2C7D83F5">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模型参数采用非线性最小二乘法（NLS）进行估计，相容性模型采用非线性联立方程组法求解。</w:t>
      </w:r>
    </w:p>
    <w:p w14:paraId="7FFF7599">
      <w:pPr>
        <w:pStyle w:val="26"/>
        <w:numPr>
          <w:ilvl w:val="0"/>
          <w:numId w:val="0"/>
        </w:numPr>
        <w:ind w:leftChars="0"/>
        <w:jc w:val="left"/>
        <w:rPr>
          <w:rFonts w:hint="eastAsia" w:ascii="仿宋" w:hAnsi="仿宋" w:eastAsia="仿宋" w:cs="仿宋"/>
          <w:sz w:val="32"/>
          <w:szCs w:val="32"/>
        </w:rPr>
      </w:pPr>
      <w:r>
        <w:rPr>
          <w:rFonts w:hint="eastAsia" w:ascii="仿宋" w:hAnsi="仿宋" w:eastAsia="仿宋" w:cs="仿宋"/>
          <w:sz w:val="32"/>
          <w:szCs w:val="32"/>
        </w:rPr>
        <w:t>3. 模型参数估计结果</w:t>
      </w:r>
    </w:p>
    <w:p w14:paraId="7DB4FF3F">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经参数估计，模型系数如表1—表5所示：</w:t>
      </w:r>
    </w:p>
    <w:p w14:paraId="4AFA2C2D">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center"/>
        <w:textAlignment w:val="auto"/>
        <w:rPr>
          <w:rFonts w:hint="eastAsia" w:ascii="仿宋" w:hAnsi="仿宋" w:eastAsia="仿宋" w:cs="仿宋"/>
          <w:sz w:val="32"/>
          <w:szCs w:val="32"/>
        </w:rPr>
      </w:pPr>
      <w:r>
        <w:rPr>
          <w:rFonts w:hint="eastAsia" w:ascii="仿宋" w:hAnsi="仿宋" w:eastAsia="仿宋" w:cs="仿宋"/>
          <w:sz w:val="32"/>
          <w:szCs w:val="32"/>
        </w:rPr>
        <w:t>表1 地上生物量模型参数估计值结果</w:t>
      </w:r>
    </w:p>
    <w:tbl>
      <w:tblPr>
        <w:tblStyle w:val="19"/>
        <w:tblpPr w:leftFromText="180" w:rightFromText="180" w:vertAnchor="text" w:tblpY="1"/>
        <w:tblW w:w="5000" w:type="pct"/>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51"/>
        <w:gridCol w:w="1961"/>
        <w:gridCol w:w="1943"/>
        <w:gridCol w:w="2001"/>
      </w:tblGrid>
      <w:tr w14:paraId="21D44434">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66" w:type="pct"/>
            <w:vMerge w:val="restart"/>
            <w:tcBorders>
              <w:top w:val="single" w:color="auto" w:sz="4" w:space="0"/>
            </w:tcBorders>
            <w:vAlign w:val="center"/>
          </w:tcPr>
          <w:p w14:paraId="3CF5BA0B">
            <w:pPr>
              <w:widowControl/>
              <w:adjustRightInd w:val="0"/>
              <w:spacing w:after="0" w:line="4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样本数</w:t>
            </w:r>
          </w:p>
        </w:tc>
        <w:tc>
          <w:tcPr>
            <w:tcW w:w="3333" w:type="pct"/>
            <w:gridSpan w:val="3"/>
            <w:tcBorders>
              <w:top w:val="single" w:color="auto" w:sz="4" w:space="0"/>
            </w:tcBorders>
            <w:vAlign w:val="center"/>
          </w:tcPr>
          <w:p w14:paraId="39EF065F">
            <w:pPr>
              <w:widowControl/>
              <w:adjustRightInd w:val="0"/>
              <w:spacing w:after="0" w:line="4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二元模型参数值</w:t>
            </w:r>
          </w:p>
        </w:tc>
      </w:tr>
      <w:tr w14:paraId="4F70D9FA">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66" w:type="pct"/>
            <w:vMerge w:val="continue"/>
            <w:tcBorders>
              <w:bottom w:val="single" w:color="auto" w:sz="4" w:space="0"/>
            </w:tcBorders>
            <w:vAlign w:val="center"/>
          </w:tcPr>
          <w:p w14:paraId="674942A0">
            <w:pPr>
              <w:widowControl/>
              <w:adjustRightInd w:val="0"/>
              <w:spacing w:after="0" w:line="400" w:lineRule="exact"/>
              <w:jc w:val="center"/>
              <w:rPr>
                <w:rFonts w:hint="eastAsia" w:ascii="宋体" w:hAnsi="宋体" w:eastAsia="宋体" w:cs="宋体"/>
                <w:kern w:val="2"/>
                <w:sz w:val="18"/>
                <w:szCs w:val="18"/>
              </w:rPr>
            </w:pPr>
          </w:p>
        </w:tc>
        <w:tc>
          <w:tcPr>
            <w:tcW w:w="1107" w:type="pct"/>
            <w:tcBorders>
              <w:bottom w:val="single" w:color="auto" w:sz="4" w:space="0"/>
            </w:tcBorders>
            <w:vAlign w:val="center"/>
          </w:tcPr>
          <w:p w14:paraId="008DD5C3">
            <w:pPr>
              <w:widowControl/>
              <w:adjustRightInd w:val="0"/>
              <w:spacing w:after="0" w:line="400" w:lineRule="exact"/>
              <w:jc w:val="center"/>
              <w:rPr>
                <w:rFonts w:hint="eastAsia" w:ascii="宋体" w:hAnsi="宋体" w:eastAsia="宋体" w:cs="宋体"/>
                <w:color w:val="000000"/>
                <w:kern w:val="0"/>
                <w:sz w:val="18"/>
                <w:szCs w:val="18"/>
              </w:rPr>
            </w:pPr>
            <w:r>
              <w:rPr>
                <w:rFonts w:hint="eastAsia" w:ascii="宋体" w:hAnsi="宋体" w:eastAsia="宋体" w:cs="宋体"/>
                <w:i/>
                <w:kern w:val="2"/>
                <w:sz w:val="18"/>
                <w:szCs w:val="18"/>
              </w:rPr>
              <w:t>a</w:t>
            </w:r>
            <w:r>
              <w:rPr>
                <w:rFonts w:hint="eastAsia" w:ascii="宋体" w:hAnsi="宋体" w:eastAsia="宋体" w:cs="宋体"/>
                <w:color w:val="000000"/>
                <w:kern w:val="2"/>
                <w:sz w:val="18"/>
                <w:szCs w:val="18"/>
                <w:vertAlign w:val="subscript"/>
              </w:rPr>
              <w:t>0</w:t>
            </w:r>
          </w:p>
        </w:tc>
        <w:tc>
          <w:tcPr>
            <w:tcW w:w="1097" w:type="pct"/>
            <w:tcBorders>
              <w:bottom w:val="single" w:color="auto" w:sz="4" w:space="0"/>
            </w:tcBorders>
            <w:vAlign w:val="center"/>
          </w:tcPr>
          <w:p w14:paraId="5C4E40F3">
            <w:pPr>
              <w:widowControl/>
              <w:adjustRightInd w:val="0"/>
              <w:spacing w:after="0" w:line="400" w:lineRule="exact"/>
              <w:jc w:val="center"/>
              <w:rPr>
                <w:rFonts w:hint="eastAsia" w:ascii="宋体" w:hAnsi="宋体" w:eastAsia="宋体" w:cs="宋体"/>
                <w:color w:val="000000"/>
                <w:kern w:val="0"/>
                <w:sz w:val="18"/>
                <w:szCs w:val="18"/>
              </w:rPr>
            </w:pPr>
            <w:r>
              <w:rPr>
                <w:rFonts w:hint="eastAsia" w:ascii="宋体" w:hAnsi="宋体" w:eastAsia="宋体" w:cs="宋体"/>
                <w:i/>
                <w:kern w:val="2"/>
                <w:sz w:val="18"/>
                <w:szCs w:val="18"/>
              </w:rPr>
              <w:t>a</w:t>
            </w:r>
            <w:r>
              <w:rPr>
                <w:rFonts w:hint="eastAsia" w:ascii="宋体" w:hAnsi="宋体" w:eastAsia="宋体" w:cs="宋体"/>
                <w:color w:val="000000"/>
                <w:kern w:val="2"/>
                <w:sz w:val="18"/>
                <w:szCs w:val="18"/>
                <w:vertAlign w:val="subscript"/>
              </w:rPr>
              <w:t>1</w:t>
            </w:r>
          </w:p>
        </w:tc>
        <w:tc>
          <w:tcPr>
            <w:tcW w:w="1128" w:type="pct"/>
            <w:tcBorders>
              <w:bottom w:val="single" w:color="auto" w:sz="4" w:space="0"/>
            </w:tcBorders>
            <w:vAlign w:val="center"/>
          </w:tcPr>
          <w:p w14:paraId="411EA370">
            <w:pPr>
              <w:widowControl/>
              <w:adjustRightInd w:val="0"/>
              <w:spacing w:after="0" w:line="400" w:lineRule="exact"/>
              <w:jc w:val="center"/>
              <w:rPr>
                <w:rFonts w:hint="eastAsia" w:ascii="宋体" w:hAnsi="宋体" w:eastAsia="宋体" w:cs="宋体"/>
                <w:color w:val="000000"/>
                <w:kern w:val="0"/>
                <w:sz w:val="18"/>
                <w:szCs w:val="18"/>
              </w:rPr>
            </w:pPr>
            <w:r>
              <w:rPr>
                <w:rFonts w:hint="eastAsia" w:ascii="宋体" w:hAnsi="宋体" w:eastAsia="宋体" w:cs="宋体"/>
                <w:i/>
                <w:kern w:val="2"/>
                <w:sz w:val="18"/>
                <w:szCs w:val="18"/>
              </w:rPr>
              <w:t>a</w:t>
            </w:r>
            <w:r>
              <w:rPr>
                <w:rFonts w:hint="eastAsia" w:ascii="宋体" w:hAnsi="宋体" w:eastAsia="宋体" w:cs="宋体"/>
                <w:color w:val="000000"/>
                <w:kern w:val="2"/>
                <w:sz w:val="18"/>
                <w:szCs w:val="18"/>
                <w:vertAlign w:val="subscript"/>
              </w:rPr>
              <w:t>2</w:t>
            </w:r>
          </w:p>
        </w:tc>
      </w:tr>
      <w:tr w14:paraId="485B6D2A">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66" w:type="pct"/>
            <w:vAlign w:val="center"/>
          </w:tcPr>
          <w:p w14:paraId="23E2D764">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126</w:t>
            </w:r>
          </w:p>
        </w:tc>
        <w:tc>
          <w:tcPr>
            <w:tcW w:w="1107" w:type="pct"/>
            <w:vAlign w:val="center"/>
          </w:tcPr>
          <w:p w14:paraId="7EC56FCE">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0.07240</w:t>
            </w:r>
          </w:p>
        </w:tc>
        <w:tc>
          <w:tcPr>
            <w:tcW w:w="1097" w:type="pct"/>
            <w:vAlign w:val="center"/>
          </w:tcPr>
          <w:p w14:paraId="5A5058BB">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2.1850</w:t>
            </w:r>
          </w:p>
        </w:tc>
        <w:tc>
          <w:tcPr>
            <w:tcW w:w="1128" w:type="pct"/>
            <w:vAlign w:val="center"/>
          </w:tcPr>
          <w:p w14:paraId="51A2485D">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0.5620</w:t>
            </w:r>
          </w:p>
        </w:tc>
      </w:tr>
    </w:tbl>
    <w:p w14:paraId="7846C4C6">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center"/>
        <w:textAlignment w:val="auto"/>
        <w:rPr>
          <w:rFonts w:hint="eastAsia" w:ascii="仿宋" w:hAnsi="仿宋" w:eastAsia="仿宋" w:cs="仿宋"/>
          <w:sz w:val="32"/>
          <w:szCs w:val="32"/>
        </w:rPr>
      </w:pPr>
      <w:r>
        <w:rPr>
          <w:rFonts w:hint="eastAsia" w:ascii="仿宋" w:hAnsi="仿宋" w:eastAsia="仿宋" w:cs="仿宋"/>
          <w:sz w:val="32"/>
          <w:szCs w:val="32"/>
        </w:rPr>
        <w:t>表2 地下生物量模型参估计值结果</w:t>
      </w:r>
    </w:p>
    <w:tbl>
      <w:tblPr>
        <w:tblStyle w:val="19"/>
        <w:tblpPr w:leftFromText="180" w:rightFromText="180" w:vertAnchor="text" w:tblpY="1"/>
        <w:tblW w:w="5000" w:type="pct"/>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51"/>
        <w:gridCol w:w="1965"/>
        <w:gridCol w:w="1942"/>
        <w:gridCol w:w="1998"/>
      </w:tblGrid>
      <w:tr w14:paraId="24C3BE3F">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66" w:type="pct"/>
            <w:vMerge w:val="restart"/>
            <w:tcBorders>
              <w:top w:val="single" w:color="auto" w:sz="4" w:space="0"/>
            </w:tcBorders>
            <w:vAlign w:val="center"/>
          </w:tcPr>
          <w:p w14:paraId="26A9DD1E">
            <w:pPr>
              <w:widowControl/>
              <w:adjustRightInd w:val="0"/>
              <w:spacing w:after="0" w:line="4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样本数</w:t>
            </w:r>
          </w:p>
        </w:tc>
        <w:tc>
          <w:tcPr>
            <w:tcW w:w="3333" w:type="pct"/>
            <w:gridSpan w:val="3"/>
            <w:tcBorders>
              <w:top w:val="single" w:color="auto" w:sz="4" w:space="0"/>
            </w:tcBorders>
            <w:vAlign w:val="center"/>
          </w:tcPr>
          <w:p w14:paraId="5D947E72">
            <w:pPr>
              <w:widowControl/>
              <w:adjustRightInd w:val="0"/>
              <w:spacing w:after="0" w:line="4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二元模型参数值</w:t>
            </w:r>
          </w:p>
        </w:tc>
      </w:tr>
      <w:tr w14:paraId="42C3DB07">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66" w:type="pct"/>
            <w:vMerge w:val="continue"/>
            <w:tcBorders>
              <w:bottom w:val="single" w:color="auto" w:sz="4" w:space="0"/>
            </w:tcBorders>
            <w:vAlign w:val="center"/>
          </w:tcPr>
          <w:p w14:paraId="046640C5">
            <w:pPr>
              <w:widowControl/>
              <w:adjustRightInd w:val="0"/>
              <w:spacing w:after="0" w:line="400" w:lineRule="exact"/>
              <w:jc w:val="center"/>
              <w:rPr>
                <w:rFonts w:hint="eastAsia" w:ascii="宋体" w:hAnsi="宋体" w:eastAsia="宋体" w:cs="宋体"/>
                <w:kern w:val="2"/>
                <w:sz w:val="18"/>
                <w:szCs w:val="18"/>
              </w:rPr>
            </w:pPr>
          </w:p>
        </w:tc>
        <w:tc>
          <w:tcPr>
            <w:tcW w:w="1109" w:type="pct"/>
            <w:tcBorders>
              <w:bottom w:val="single" w:color="auto" w:sz="4" w:space="0"/>
            </w:tcBorders>
            <w:vAlign w:val="center"/>
          </w:tcPr>
          <w:p w14:paraId="61CF7CC9">
            <w:pPr>
              <w:widowControl/>
              <w:adjustRightInd w:val="0"/>
              <w:spacing w:after="0" w:line="400" w:lineRule="exact"/>
              <w:jc w:val="center"/>
              <w:rPr>
                <w:rFonts w:hint="eastAsia" w:ascii="宋体" w:hAnsi="宋体" w:eastAsia="宋体" w:cs="宋体"/>
                <w:color w:val="000000"/>
                <w:kern w:val="0"/>
                <w:sz w:val="18"/>
                <w:szCs w:val="18"/>
              </w:rPr>
            </w:pPr>
            <w:r>
              <w:rPr>
                <w:rFonts w:hint="eastAsia" w:ascii="宋体" w:hAnsi="宋体" w:eastAsia="宋体" w:cs="宋体"/>
                <w:i/>
                <w:kern w:val="2"/>
                <w:sz w:val="18"/>
                <w:szCs w:val="18"/>
              </w:rPr>
              <w:t>b</w:t>
            </w:r>
            <w:r>
              <w:rPr>
                <w:rFonts w:hint="eastAsia" w:ascii="宋体" w:hAnsi="宋体" w:eastAsia="宋体" w:cs="宋体"/>
                <w:color w:val="000000"/>
                <w:kern w:val="2"/>
                <w:sz w:val="18"/>
                <w:szCs w:val="18"/>
                <w:vertAlign w:val="subscript"/>
              </w:rPr>
              <w:t>0</w:t>
            </w:r>
          </w:p>
        </w:tc>
        <w:tc>
          <w:tcPr>
            <w:tcW w:w="1096" w:type="pct"/>
            <w:tcBorders>
              <w:bottom w:val="single" w:color="auto" w:sz="4" w:space="0"/>
            </w:tcBorders>
            <w:vAlign w:val="center"/>
          </w:tcPr>
          <w:p w14:paraId="6FF32633">
            <w:pPr>
              <w:widowControl/>
              <w:adjustRightInd w:val="0"/>
              <w:spacing w:after="0" w:line="400" w:lineRule="exact"/>
              <w:jc w:val="center"/>
              <w:rPr>
                <w:rFonts w:hint="eastAsia" w:ascii="宋体" w:hAnsi="宋体" w:eastAsia="宋体" w:cs="宋体"/>
                <w:color w:val="000000"/>
                <w:kern w:val="0"/>
                <w:sz w:val="18"/>
                <w:szCs w:val="18"/>
              </w:rPr>
            </w:pPr>
            <w:r>
              <w:rPr>
                <w:rFonts w:hint="eastAsia" w:ascii="宋体" w:hAnsi="宋体" w:eastAsia="宋体" w:cs="宋体"/>
                <w:i/>
                <w:kern w:val="2"/>
                <w:sz w:val="18"/>
                <w:szCs w:val="18"/>
              </w:rPr>
              <w:t>b</w:t>
            </w:r>
            <w:r>
              <w:rPr>
                <w:rFonts w:hint="eastAsia" w:ascii="宋体" w:hAnsi="宋体" w:eastAsia="宋体" w:cs="宋体"/>
                <w:color w:val="000000"/>
                <w:kern w:val="2"/>
                <w:sz w:val="18"/>
                <w:szCs w:val="18"/>
                <w:vertAlign w:val="subscript"/>
              </w:rPr>
              <w:t>1</w:t>
            </w:r>
          </w:p>
        </w:tc>
        <w:tc>
          <w:tcPr>
            <w:tcW w:w="1127" w:type="pct"/>
            <w:tcBorders>
              <w:bottom w:val="single" w:color="auto" w:sz="4" w:space="0"/>
            </w:tcBorders>
            <w:vAlign w:val="center"/>
          </w:tcPr>
          <w:p w14:paraId="5E0D640B">
            <w:pPr>
              <w:widowControl/>
              <w:adjustRightInd w:val="0"/>
              <w:spacing w:after="0" w:line="400" w:lineRule="exact"/>
              <w:jc w:val="center"/>
              <w:rPr>
                <w:rFonts w:hint="eastAsia" w:ascii="宋体" w:hAnsi="宋体" w:eastAsia="宋体" w:cs="宋体"/>
                <w:color w:val="000000"/>
                <w:kern w:val="0"/>
                <w:sz w:val="18"/>
                <w:szCs w:val="18"/>
              </w:rPr>
            </w:pPr>
            <w:r>
              <w:rPr>
                <w:rFonts w:hint="eastAsia" w:ascii="宋体" w:hAnsi="宋体" w:eastAsia="宋体" w:cs="宋体"/>
                <w:i/>
                <w:kern w:val="2"/>
                <w:sz w:val="18"/>
                <w:szCs w:val="18"/>
              </w:rPr>
              <w:t>b</w:t>
            </w:r>
            <w:r>
              <w:rPr>
                <w:rFonts w:hint="eastAsia" w:ascii="宋体" w:hAnsi="宋体" w:eastAsia="宋体" w:cs="宋体"/>
                <w:color w:val="000000"/>
                <w:kern w:val="2"/>
                <w:sz w:val="18"/>
                <w:szCs w:val="18"/>
                <w:vertAlign w:val="subscript"/>
              </w:rPr>
              <w:t>2</w:t>
            </w:r>
          </w:p>
        </w:tc>
      </w:tr>
      <w:tr w14:paraId="624BBB07">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66" w:type="pct"/>
            <w:vAlign w:val="center"/>
          </w:tcPr>
          <w:p w14:paraId="6EB67DFF">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98</w:t>
            </w:r>
          </w:p>
        </w:tc>
        <w:tc>
          <w:tcPr>
            <w:tcW w:w="1109" w:type="pct"/>
            <w:vAlign w:val="center"/>
          </w:tcPr>
          <w:p w14:paraId="6A0C9366">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0.01860</w:t>
            </w:r>
          </w:p>
        </w:tc>
        <w:tc>
          <w:tcPr>
            <w:tcW w:w="1096" w:type="pct"/>
            <w:vAlign w:val="center"/>
          </w:tcPr>
          <w:p w14:paraId="7F7FA251">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2.3520</w:t>
            </w:r>
          </w:p>
        </w:tc>
        <w:tc>
          <w:tcPr>
            <w:tcW w:w="1127" w:type="pct"/>
            <w:vAlign w:val="center"/>
          </w:tcPr>
          <w:p w14:paraId="5E82FDB4">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0.3150</w:t>
            </w:r>
          </w:p>
        </w:tc>
      </w:tr>
    </w:tbl>
    <w:p w14:paraId="5109D800">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center"/>
        <w:textAlignment w:val="auto"/>
        <w:rPr>
          <w:rFonts w:hint="eastAsia" w:ascii="仿宋" w:hAnsi="仿宋" w:eastAsia="仿宋" w:cs="仿宋"/>
          <w:sz w:val="32"/>
          <w:szCs w:val="32"/>
        </w:rPr>
      </w:pPr>
      <w:r>
        <w:rPr>
          <w:rFonts w:hint="eastAsia" w:ascii="仿宋" w:hAnsi="仿宋" w:eastAsia="仿宋" w:cs="仿宋"/>
          <w:sz w:val="32"/>
          <w:szCs w:val="32"/>
        </w:rPr>
        <w:t>表3 相容性生物量模型参数估计值结果</w:t>
      </w:r>
    </w:p>
    <w:tbl>
      <w:tblPr>
        <w:tblStyle w:val="19"/>
        <w:tblpPr w:leftFromText="180" w:rightFromText="180" w:vertAnchor="text" w:tblpY="1"/>
        <w:tblW w:w="4999" w:type="pct"/>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34"/>
        <w:gridCol w:w="892"/>
        <w:gridCol w:w="892"/>
        <w:gridCol w:w="893"/>
        <w:gridCol w:w="893"/>
        <w:gridCol w:w="893"/>
        <w:gridCol w:w="893"/>
        <w:gridCol w:w="964"/>
        <w:gridCol w:w="900"/>
      </w:tblGrid>
      <w:tr w14:paraId="606A5D1F">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23" w:type="pct"/>
            <w:vMerge w:val="restart"/>
            <w:tcBorders>
              <w:top w:val="single" w:color="auto" w:sz="4" w:space="0"/>
            </w:tcBorders>
            <w:vAlign w:val="center"/>
          </w:tcPr>
          <w:p w14:paraId="2091FD83">
            <w:pPr>
              <w:widowControl/>
              <w:adjustRightInd w:val="0"/>
              <w:spacing w:after="0" w:line="4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样本数</w:t>
            </w:r>
          </w:p>
        </w:tc>
        <w:tc>
          <w:tcPr>
            <w:tcW w:w="4076" w:type="pct"/>
            <w:gridSpan w:val="8"/>
            <w:tcBorders>
              <w:top w:val="single" w:color="auto" w:sz="4" w:space="0"/>
              <w:bottom w:val="single" w:color="auto" w:sz="4" w:space="0"/>
            </w:tcBorders>
            <w:vAlign w:val="center"/>
          </w:tcPr>
          <w:p w14:paraId="1BB741F7">
            <w:pPr>
              <w:widowControl/>
              <w:adjustRightInd w:val="0"/>
              <w:spacing w:after="0" w:line="4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参数</w:t>
            </w:r>
          </w:p>
        </w:tc>
      </w:tr>
      <w:tr w14:paraId="7184834E">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23" w:type="pct"/>
            <w:vMerge w:val="continue"/>
            <w:tcBorders>
              <w:bottom w:val="single" w:color="auto" w:sz="4" w:space="0"/>
            </w:tcBorders>
            <w:vAlign w:val="center"/>
          </w:tcPr>
          <w:p w14:paraId="6B835789">
            <w:pPr>
              <w:widowControl/>
              <w:adjustRightInd w:val="0"/>
              <w:spacing w:after="0" w:line="400" w:lineRule="exact"/>
              <w:jc w:val="center"/>
              <w:rPr>
                <w:rFonts w:hint="eastAsia" w:ascii="宋体" w:hAnsi="宋体" w:eastAsia="宋体" w:cs="宋体"/>
                <w:color w:val="000000"/>
                <w:kern w:val="0"/>
                <w:sz w:val="18"/>
                <w:szCs w:val="18"/>
              </w:rPr>
            </w:pPr>
          </w:p>
        </w:tc>
        <w:tc>
          <w:tcPr>
            <w:tcW w:w="504" w:type="pct"/>
            <w:tcBorders>
              <w:top w:val="single" w:color="auto" w:sz="4" w:space="0"/>
              <w:bottom w:val="single" w:color="auto" w:sz="4" w:space="0"/>
            </w:tcBorders>
            <w:vAlign w:val="center"/>
          </w:tcPr>
          <w:p w14:paraId="28C2047A">
            <w:pPr>
              <w:widowControl/>
              <w:adjustRightInd w:val="0"/>
              <w:spacing w:after="0" w:line="4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2"/>
                <w:sz w:val="18"/>
                <w:szCs w:val="18"/>
              </w:rPr>
              <w:t>c</w:t>
            </w:r>
            <w:r>
              <w:rPr>
                <w:rFonts w:hint="eastAsia" w:ascii="宋体" w:hAnsi="宋体" w:eastAsia="宋体" w:cs="宋体"/>
                <w:color w:val="000000"/>
                <w:kern w:val="2"/>
                <w:sz w:val="18"/>
                <w:szCs w:val="18"/>
                <w:vertAlign w:val="subscript"/>
              </w:rPr>
              <w:t>0</w:t>
            </w:r>
          </w:p>
        </w:tc>
        <w:tc>
          <w:tcPr>
            <w:tcW w:w="504" w:type="pct"/>
            <w:tcBorders>
              <w:top w:val="single" w:color="auto" w:sz="4" w:space="0"/>
              <w:bottom w:val="single" w:color="auto" w:sz="4" w:space="0"/>
            </w:tcBorders>
            <w:vAlign w:val="center"/>
          </w:tcPr>
          <w:p w14:paraId="363290C4">
            <w:pPr>
              <w:widowControl/>
              <w:adjustRightInd w:val="0"/>
              <w:spacing w:after="0" w:line="4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2"/>
                <w:sz w:val="18"/>
                <w:szCs w:val="18"/>
              </w:rPr>
              <w:t>e</w:t>
            </w:r>
            <w:r>
              <w:rPr>
                <w:rFonts w:hint="eastAsia" w:ascii="宋体" w:hAnsi="宋体" w:eastAsia="宋体" w:cs="宋体"/>
                <w:color w:val="000000"/>
                <w:kern w:val="2"/>
                <w:sz w:val="18"/>
                <w:szCs w:val="18"/>
                <w:vertAlign w:val="subscript"/>
              </w:rPr>
              <w:t>0</w:t>
            </w:r>
          </w:p>
        </w:tc>
        <w:tc>
          <w:tcPr>
            <w:tcW w:w="504" w:type="pct"/>
            <w:tcBorders>
              <w:top w:val="single" w:color="auto" w:sz="4" w:space="0"/>
              <w:bottom w:val="single" w:color="auto" w:sz="4" w:space="0"/>
            </w:tcBorders>
            <w:vAlign w:val="center"/>
          </w:tcPr>
          <w:p w14:paraId="4CE87DE1">
            <w:pPr>
              <w:widowControl/>
              <w:adjustRightInd w:val="0"/>
              <w:spacing w:after="0" w:line="400" w:lineRule="exact"/>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r</w:t>
            </w:r>
            <w:r>
              <w:rPr>
                <w:rFonts w:hint="eastAsia" w:ascii="宋体" w:hAnsi="宋体" w:eastAsia="宋体" w:cs="宋体"/>
                <w:color w:val="000000"/>
                <w:kern w:val="2"/>
                <w:sz w:val="18"/>
                <w:szCs w:val="18"/>
                <w:vertAlign w:val="subscript"/>
              </w:rPr>
              <w:t>1</w:t>
            </w:r>
          </w:p>
        </w:tc>
        <w:tc>
          <w:tcPr>
            <w:tcW w:w="504" w:type="pct"/>
            <w:tcBorders>
              <w:top w:val="single" w:color="auto" w:sz="4" w:space="0"/>
              <w:bottom w:val="single" w:color="auto" w:sz="4" w:space="0"/>
            </w:tcBorders>
            <w:vAlign w:val="center"/>
          </w:tcPr>
          <w:p w14:paraId="0E31EFF1">
            <w:pPr>
              <w:widowControl/>
              <w:adjustRightInd w:val="0"/>
              <w:spacing w:after="0" w:line="400" w:lineRule="exact"/>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r</w:t>
            </w:r>
            <w:r>
              <w:rPr>
                <w:rFonts w:hint="eastAsia" w:ascii="宋体" w:hAnsi="宋体" w:eastAsia="宋体" w:cs="宋体"/>
                <w:color w:val="000000"/>
                <w:kern w:val="2"/>
                <w:sz w:val="18"/>
                <w:szCs w:val="18"/>
                <w:vertAlign w:val="subscript"/>
              </w:rPr>
              <w:t>2</w:t>
            </w:r>
          </w:p>
        </w:tc>
        <w:tc>
          <w:tcPr>
            <w:tcW w:w="504" w:type="pct"/>
            <w:tcBorders>
              <w:top w:val="single" w:color="auto" w:sz="4" w:space="0"/>
              <w:bottom w:val="single" w:color="auto" w:sz="4" w:space="0"/>
            </w:tcBorders>
            <w:vAlign w:val="center"/>
          </w:tcPr>
          <w:p w14:paraId="2CCEA3CE">
            <w:pPr>
              <w:widowControl/>
              <w:adjustRightInd w:val="0"/>
              <w:spacing w:after="0" w:line="400" w:lineRule="exact"/>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r</w:t>
            </w:r>
            <w:r>
              <w:rPr>
                <w:rFonts w:hint="eastAsia" w:ascii="宋体" w:hAnsi="宋体" w:eastAsia="宋体" w:cs="宋体"/>
                <w:color w:val="000000"/>
                <w:kern w:val="2"/>
                <w:sz w:val="18"/>
                <w:szCs w:val="18"/>
                <w:vertAlign w:val="subscript"/>
              </w:rPr>
              <w:t>3</w:t>
            </w:r>
          </w:p>
        </w:tc>
        <w:tc>
          <w:tcPr>
            <w:tcW w:w="504" w:type="pct"/>
            <w:tcBorders>
              <w:top w:val="single" w:color="auto" w:sz="4" w:space="0"/>
              <w:bottom w:val="single" w:color="auto" w:sz="4" w:space="0"/>
            </w:tcBorders>
            <w:vAlign w:val="center"/>
          </w:tcPr>
          <w:p w14:paraId="0E6ED29B">
            <w:pPr>
              <w:widowControl/>
              <w:adjustRightInd w:val="0"/>
              <w:spacing w:after="0" w:line="400" w:lineRule="exact"/>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k</w:t>
            </w:r>
            <w:r>
              <w:rPr>
                <w:rFonts w:hint="eastAsia" w:ascii="宋体" w:hAnsi="宋体" w:eastAsia="宋体" w:cs="宋体"/>
                <w:color w:val="000000"/>
                <w:kern w:val="2"/>
                <w:sz w:val="18"/>
                <w:szCs w:val="18"/>
                <w:vertAlign w:val="subscript"/>
              </w:rPr>
              <w:t>1</w:t>
            </w:r>
          </w:p>
        </w:tc>
        <w:tc>
          <w:tcPr>
            <w:tcW w:w="544" w:type="pct"/>
            <w:tcBorders>
              <w:top w:val="single" w:color="auto" w:sz="4" w:space="0"/>
              <w:bottom w:val="single" w:color="auto" w:sz="4" w:space="0"/>
            </w:tcBorders>
            <w:vAlign w:val="center"/>
          </w:tcPr>
          <w:p w14:paraId="4C9243B3">
            <w:pPr>
              <w:widowControl/>
              <w:adjustRightInd w:val="0"/>
              <w:spacing w:after="0" w:line="400" w:lineRule="exact"/>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k</w:t>
            </w:r>
            <w:r>
              <w:rPr>
                <w:rFonts w:hint="eastAsia" w:ascii="宋体" w:hAnsi="宋体" w:eastAsia="宋体" w:cs="宋体"/>
                <w:color w:val="000000"/>
                <w:kern w:val="2"/>
                <w:sz w:val="18"/>
                <w:szCs w:val="18"/>
                <w:vertAlign w:val="subscript"/>
              </w:rPr>
              <w:t>2</w:t>
            </w:r>
          </w:p>
        </w:tc>
        <w:tc>
          <w:tcPr>
            <w:tcW w:w="506" w:type="pct"/>
            <w:tcBorders>
              <w:top w:val="single" w:color="auto" w:sz="4" w:space="0"/>
              <w:bottom w:val="single" w:color="auto" w:sz="4" w:space="0"/>
            </w:tcBorders>
            <w:vAlign w:val="center"/>
          </w:tcPr>
          <w:p w14:paraId="223BF721">
            <w:pPr>
              <w:widowControl/>
              <w:adjustRightInd w:val="0"/>
              <w:spacing w:after="0" w:line="400" w:lineRule="exact"/>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k</w:t>
            </w:r>
            <w:r>
              <w:rPr>
                <w:rFonts w:hint="eastAsia" w:ascii="宋体" w:hAnsi="宋体" w:eastAsia="宋体" w:cs="宋体"/>
                <w:color w:val="000000"/>
                <w:kern w:val="2"/>
                <w:sz w:val="18"/>
                <w:szCs w:val="18"/>
                <w:vertAlign w:val="subscript"/>
              </w:rPr>
              <w:t>3</w:t>
            </w:r>
          </w:p>
        </w:tc>
      </w:tr>
      <w:tr w14:paraId="3B1B723E">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23" w:type="pct"/>
            <w:vAlign w:val="center"/>
          </w:tcPr>
          <w:p w14:paraId="03AE2AC5">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85</w:t>
            </w:r>
          </w:p>
        </w:tc>
        <w:tc>
          <w:tcPr>
            <w:tcW w:w="504" w:type="pct"/>
            <w:vAlign w:val="center"/>
          </w:tcPr>
          <w:p w14:paraId="4BAB7C8A">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0.0892</w:t>
            </w:r>
          </w:p>
        </w:tc>
        <w:tc>
          <w:tcPr>
            <w:tcW w:w="504" w:type="pct"/>
            <w:vAlign w:val="center"/>
          </w:tcPr>
          <w:p w14:paraId="0CD5A416">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2.4216</w:t>
            </w:r>
          </w:p>
        </w:tc>
        <w:tc>
          <w:tcPr>
            <w:tcW w:w="504" w:type="pct"/>
            <w:vAlign w:val="center"/>
          </w:tcPr>
          <w:p w14:paraId="7B048D52">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0.2140</w:t>
            </w:r>
          </w:p>
        </w:tc>
        <w:tc>
          <w:tcPr>
            <w:tcW w:w="504" w:type="pct"/>
            <w:vAlign w:val="center"/>
          </w:tcPr>
          <w:p w14:paraId="78AE7EDE">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0.0523</w:t>
            </w:r>
          </w:p>
        </w:tc>
        <w:tc>
          <w:tcPr>
            <w:tcW w:w="504" w:type="pct"/>
            <w:vAlign w:val="center"/>
          </w:tcPr>
          <w:p w14:paraId="5946030F">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0.1680</w:t>
            </w:r>
          </w:p>
        </w:tc>
        <w:tc>
          <w:tcPr>
            <w:tcW w:w="504" w:type="pct"/>
            <w:vAlign w:val="center"/>
          </w:tcPr>
          <w:p w14:paraId="6DF02C64">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0.3420</w:t>
            </w:r>
          </w:p>
        </w:tc>
        <w:tc>
          <w:tcPr>
            <w:tcW w:w="544" w:type="pct"/>
            <w:vAlign w:val="center"/>
          </w:tcPr>
          <w:p w14:paraId="31E3DF48">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-0.4580</w:t>
            </w:r>
          </w:p>
        </w:tc>
        <w:tc>
          <w:tcPr>
            <w:tcW w:w="506" w:type="pct"/>
            <w:vAlign w:val="center"/>
          </w:tcPr>
          <w:p w14:paraId="0DF996D0">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0.2050</w:t>
            </w:r>
          </w:p>
        </w:tc>
      </w:tr>
    </w:tbl>
    <w:p w14:paraId="5D372581">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表4 地上生物量模型的评价指标</w:t>
      </w:r>
    </w:p>
    <w:bookmarkEnd w:id="15"/>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1273"/>
        <w:gridCol w:w="1599"/>
        <w:gridCol w:w="1335"/>
        <w:gridCol w:w="1662"/>
        <w:gridCol w:w="1347"/>
      </w:tblGrid>
      <w:tr w14:paraId="41855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26" w:type="pct"/>
            <w:vMerge w:val="restart"/>
            <w:vAlign w:val="center"/>
          </w:tcPr>
          <w:p w14:paraId="7DDF45A7">
            <w:pPr>
              <w:widowControl w:val="0"/>
              <w:adjustRightInd w:val="0"/>
              <w:spacing w:after="0" w:line="400" w:lineRule="exact"/>
              <w:jc w:val="center"/>
              <w:rPr>
                <w:rFonts w:hint="eastAsia" w:ascii="宋体" w:hAnsi="宋体" w:eastAsia="宋体" w:cs="Times New Roman"/>
                <w:kern w:val="0"/>
                <w:sz w:val="18"/>
                <w:szCs w:val="18"/>
              </w:rPr>
            </w:pPr>
            <w:bookmarkStart w:id="16" w:name="含碳系数测定结果"/>
            <w:r>
              <w:rPr>
                <w:rFonts w:hint="eastAsia" w:ascii="宋体" w:hAnsi="宋体" w:eastAsia="宋体" w:cs="Times New Roman"/>
                <w:kern w:val="0"/>
                <w:sz w:val="18"/>
                <w:szCs w:val="18"/>
              </w:rPr>
              <w:t>样本数</w:t>
            </w:r>
          </w:p>
        </w:tc>
        <w:tc>
          <w:tcPr>
            <w:tcW w:w="4074" w:type="pct"/>
            <w:gridSpan w:val="5"/>
            <w:vAlign w:val="center"/>
          </w:tcPr>
          <w:p w14:paraId="798013D2">
            <w:pPr>
              <w:widowControl w:val="0"/>
              <w:adjustRightInd w:val="0"/>
              <w:spacing w:after="0" w:line="400" w:lineRule="exact"/>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模型检验指标</w:t>
            </w:r>
          </w:p>
        </w:tc>
      </w:tr>
      <w:tr w14:paraId="5BD0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26" w:type="pct"/>
            <w:vMerge w:val="continue"/>
            <w:vAlign w:val="center"/>
          </w:tcPr>
          <w:p w14:paraId="349077D1">
            <w:pPr>
              <w:widowControl w:val="0"/>
              <w:adjustRightInd w:val="0"/>
              <w:spacing w:after="0" w:line="400" w:lineRule="exact"/>
              <w:jc w:val="center"/>
              <w:rPr>
                <w:rFonts w:hint="eastAsia" w:ascii="宋体" w:hAnsi="宋体" w:eastAsia="宋体" w:cs="Times New Roman"/>
                <w:kern w:val="0"/>
                <w:sz w:val="18"/>
                <w:szCs w:val="18"/>
              </w:rPr>
            </w:pPr>
          </w:p>
        </w:tc>
        <w:tc>
          <w:tcPr>
            <w:tcW w:w="719" w:type="pct"/>
            <w:vAlign w:val="center"/>
          </w:tcPr>
          <w:p w14:paraId="255149C5">
            <w:pPr>
              <w:widowControl w:val="0"/>
              <w:adjustRightInd w:val="0"/>
              <w:spacing w:after="0" w:line="400" w:lineRule="exact"/>
              <w:jc w:val="center"/>
              <w:rPr>
                <w:rFonts w:hint="eastAsia" w:ascii="宋体" w:hAnsi="宋体" w:eastAsia="宋体" w:cs="Times New Roman"/>
                <w:kern w:val="0"/>
                <w:sz w:val="18"/>
                <w:szCs w:val="18"/>
              </w:rPr>
            </w:pPr>
            <w:r>
              <w:rPr>
                <w:rFonts w:ascii="宋体" w:hAnsi="宋体" w:eastAsia="宋体" w:cs="Times New Roman"/>
                <w:kern w:val="0"/>
                <w:sz w:val="18"/>
                <w:szCs w:val="18"/>
              </w:rPr>
              <w:t>MPE</w:t>
            </w:r>
          </w:p>
        </w:tc>
        <w:tc>
          <w:tcPr>
            <w:tcW w:w="903" w:type="pct"/>
            <w:vAlign w:val="center"/>
          </w:tcPr>
          <w:p w14:paraId="3A87D0ED">
            <w:pPr>
              <w:widowControl w:val="0"/>
              <w:adjustRightInd w:val="0"/>
              <w:spacing w:after="0" w:line="400" w:lineRule="exact"/>
              <w:jc w:val="center"/>
              <w:rPr>
                <w:rFonts w:hint="eastAsia" w:ascii="宋体" w:hAnsi="宋体" w:eastAsia="宋体" w:cs="Times New Roman"/>
                <w:kern w:val="0"/>
                <w:sz w:val="18"/>
                <w:szCs w:val="18"/>
              </w:rPr>
            </w:pPr>
            <w:r>
              <w:rPr>
                <w:rFonts w:ascii="宋体" w:hAnsi="宋体" w:eastAsia="宋体" w:cs="Times New Roman"/>
                <w:kern w:val="0"/>
                <w:sz w:val="18"/>
                <w:szCs w:val="18"/>
              </w:rPr>
              <w:t>MPE</w:t>
            </w:r>
            <w:r>
              <w:rPr>
                <w:rFonts w:hint="eastAsia" w:ascii="宋体" w:hAnsi="宋体" w:eastAsia="宋体" w:cs="Times New Roman"/>
                <w:kern w:val="0"/>
                <w:sz w:val="18"/>
                <w:szCs w:val="18"/>
              </w:rPr>
              <w:t>（</w:t>
            </w:r>
            <w:r>
              <w:rPr>
                <w:rFonts w:ascii="宋体" w:hAnsi="宋体" w:eastAsia="宋体" w:cs="Times New Roman"/>
                <w:kern w:val="0"/>
                <w:sz w:val="18"/>
                <w:szCs w:val="18"/>
              </w:rPr>
              <w:t>%</w:t>
            </w:r>
            <w:r>
              <w:rPr>
                <w:rFonts w:hint="eastAsia" w:ascii="宋体" w:hAnsi="宋体" w:eastAsia="宋体" w:cs="Times New Roman"/>
                <w:kern w:val="0"/>
                <w:sz w:val="18"/>
                <w:szCs w:val="18"/>
              </w:rPr>
              <w:t>）</w:t>
            </w:r>
          </w:p>
        </w:tc>
        <w:tc>
          <w:tcPr>
            <w:tcW w:w="754" w:type="pct"/>
            <w:vAlign w:val="center"/>
          </w:tcPr>
          <w:p w14:paraId="0766DD15">
            <w:pPr>
              <w:widowControl w:val="0"/>
              <w:adjustRightInd w:val="0"/>
              <w:spacing w:after="0" w:line="400" w:lineRule="exact"/>
              <w:jc w:val="center"/>
              <w:rPr>
                <w:rFonts w:hint="eastAsia" w:ascii="宋体" w:hAnsi="宋体" w:eastAsia="宋体" w:cs="Times New Roman"/>
                <w:kern w:val="0"/>
                <w:sz w:val="18"/>
                <w:szCs w:val="18"/>
              </w:rPr>
            </w:pPr>
            <w:r>
              <w:rPr>
                <w:rFonts w:ascii="宋体" w:hAnsi="宋体" w:eastAsia="宋体" w:cs="Times New Roman"/>
                <w:kern w:val="0"/>
                <w:sz w:val="18"/>
                <w:szCs w:val="18"/>
              </w:rPr>
              <w:t>MAE</w:t>
            </w:r>
          </w:p>
        </w:tc>
        <w:tc>
          <w:tcPr>
            <w:tcW w:w="938" w:type="pct"/>
            <w:vAlign w:val="center"/>
          </w:tcPr>
          <w:p w14:paraId="103C1EF6">
            <w:pPr>
              <w:widowControl w:val="0"/>
              <w:adjustRightInd w:val="0"/>
              <w:spacing w:after="0" w:line="400" w:lineRule="exact"/>
              <w:jc w:val="center"/>
              <w:rPr>
                <w:rFonts w:hint="eastAsia" w:ascii="宋体" w:hAnsi="宋体" w:eastAsia="宋体" w:cs="Times New Roman"/>
                <w:kern w:val="0"/>
                <w:sz w:val="18"/>
                <w:szCs w:val="18"/>
              </w:rPr>
            </w:pPr>
            <w:r>
              <w:rPr>
                <w:rFonts w:ascii="宋体" w:hAnsi="宋体" w:eastAsia="宋体" w:cs="Times New Roman"/>
                <w:kern w:val="0"/>
                <w:sz w:val="18"/>
                <w:szCs w:val="18"/>
              </w:rPr>
              <w:t>MAE</w:t>
            </w:r>
            <w:r>
              <w:rPr>
                <w:rFonts w:hint="eastAsia" w:ascii="宋体" w:hAnsi="宋体" w:eastAsia="宋体" w:cs="Times New Roman"/>
                <w:kern w:val="0"/>
                <w:sz w:val="18"/>
                <w:szCs w:val="18"/>
              </w:rPr>
              <w:t>（</w:t>
            </w:r>
            <w:r>
              <w:rPr>
                <w:rFonts w:ascii="宋体" w:hAnsi="宋体" w:eastAsia="宋体" w:cs="Times New Roman"/>
                <w:kern w:val="0"/>
                <w:sz w:val="18"/>
                <w:szCs w:val="18"/>
              </w:rPr>
              <w:t>%</w:t>
            </w:r>
            <w:r>
              <w:rPr>
                <w:rFonts w:hint="eastAsia" w:ascii="宋体" w:hAnsi="宋体" w:eastAsia="宋体" w:cs="Times New Roman"/>
                <w:kern w:val="0"/>
                <w:sz w:val="18"/>
                <w:szCs w:val="18"/>
              </w:rPr>
              <w:t>）</w:t>
            </w:r>
          </w:p>
        </w:tc>
        <w:tc>
          <w:tcPr>
            <w:tcW w:w="760" w:type="pct"/>
            <w:vAlign w:val="center"/>
          </w:tcPr>
          <w:p w14:paraId="6D7C7CE9">
            <w:pPr>
              <w:widowControl w:val="0"/>
              <w:adjustRightInd w:val="0"/>
              <w:spacing w:after="0" w:line="400" w:lineRule="exact"/>
              <w:jc w:val="center"/>
              <w:rPr>
                <w:rFonts w:hint="eastAsia" w:ascii="宋体" w:hAnsi="宋体" w:eastAsia="宋体" w:cs="Times New Roman"/>
                <w:i/>
                <w:iCs/>
                <w:kern w:val="0"/>
                <w:sz w:val="18"/>
                <w:szCs w:val="18"/>
              </w:rPr>
            </w:pPr>
            <w:r>
              <w:rPr>
                <w:rFonts w:hint="eastAsia" w:ascii="宋体" w:hAnsi="宋体" w:eastAsia="宋体" w:cs="Times New Roman"/>
                <w:kern w:val="0"/>
                <w:sz w:val="18"/>
                <w:szCs w:val="18"/>
              </w:rPr>
              <w:t>精度（</w:t>
            </w:r>
            <w:r>
              <w:rPr>
                <w:rFonts w:ascii="宋体" w:hAnsi="宋体" w:eastAsia="宋体" w:cs="Times New Roman"/>
                <w:kern w:val="0"/>
                <w:sz w:val="18"/>
                <w:szCs w:val="18"/>
              </w:rPr>
              <w:t>%</w:t>
            </w:r>
            <w:r>
              <w:rPr>
                <w:rFonts w:hint="eastAsia" w:ascii="宋体" w:hAnsi="宋体" w:eastAsia="宋体" w:cs="Times New Roman"/>
                <w:kern w:val="0"/>
                <w:sz w:val="18"/>
                <w:szCs w:val="18"/>
              </w:rPr>
              <w:t>）</w:t>
            </w:r>
          </w:p>
        </w:tc>
      </w:tr>
      <w:tr w14:paraId="046AE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26" w:type="pct"/>
            <w:vAlign w:val="center"/>
          </w:tcPr>
          <w:p w14:paraId="77BAD5AF">
            <w:pPr>
              <w:widowControl w:val="0"/>
              <w:adjustRightInd w:val="0"/>
              <w:spacing w:after="0" w:line="400" w:lineRule="exact"/>
              <w:jc w:val="center"/>
              <w:rPr>
                <w:rFonts w:ascii="宋体" w:hAnsi="宋体" w:eastAsia="宋体" w:cs="Times New Roman"/>
                <w:kern w:val="2"/>
                <w:sz w:val="18"/>
                <w:szCs w:val="18"/>
              </w:rPr>
            </w:pPr>
            <w:r>
              <w:rPr>
                <w:rFonts w:ascii="宋体" w:hAnsi="宋体" w:eastAsia="宋体" w:cs="Times New Roman"/>
                <w:kern w:val="2"/>
                <w:sz w:val="18"/>
                <w:szCs w:val="18"/>
              </w:rPr>
              <w:t>126</w:t>
            </w:r>
          </w:p>
        </w:tc>
        <w:tc>
          <w:tcPr>
            <w:tcW w:w="719" w:type="pct"/>
            <w:vAlign w:val="center"/>
          </w:tcPr>
          <w:p w14:paraId="55A48E1D">
            <w:pPr>
              <w:widowControl w:val="0"/>
              <w:adjustRightInd w:val="0"/>
              <w:spacing w:after="0" w:line="400" w:lineRule="exact"/>
              <w:jc w:val="center"/>
              <w:rPr>
                <w:rFonts w:ascii="宋体" w:hAnsi="宋体" w:eastAsia="宋体" w:cs="Times New Roman"/>
                <w:kern w:val="2"/>
                <w:sz w:val="18"/>
                <w:szCs w:val="18"/>
              </w:rPr>
            </w:pPr>
            <w:r>
              <w:rPr>
                <w:rFonts w:ascii="宋体" w:hAnsi="宋体" w:eastAsia="宋体" w:cs="Times New Roman"/>
                <w:kern w:val="2"/>
                <w:sz w:val="18"/>
                <w:szCs w:val="18"/>
              </w:rPr>
              <w:t>2.64</w:t>
            </w:r>
          </w:p>
        </w:tc>
        <w:tc>
          <w:tcPr>
            <w:tcW w:w="903" w:type="pct"/>
            <w:vAlign w:val="center"/>
          </w:tcPr>
          <w:p w14:paraId="24ECCBF9">
            <w:pPr>
              <w:widowControl w:val="0"/>
              <w:adjustRightInd w:val="0"/>
              <w:spacing w:after="0" w:line="400" w:lineRule="exact"/>
              <w:jc w:val="center"/>
              <w:rPr>
                <w:rFonts w:ascii="宋体" w:hAnsi="宋体" w:eastAsia="宋体" w:cs="Times New Roman"/>
                <w:kern w:val="2"/>
                <w:sz w:val="18"/>
                <w:szCs w:val="18"/>
              </w:rPr>
            </w:pPr>
            <w:r>
              <w:rPr>
                <w:rFonts w:ascii="宋体" w:hAnsi="宋体" w:eastAsia="宋体" w:cs="Times New Roman"/>
                <w:kern w:val="2"/>
                <w:sz w:val="18"/>
                <w:szCs w:val="18"/>
              </w:rPr>
              <w:t>5.20</w:t>
            </w:r>
          </w:p>
        </w:tc>
        <w:tc>
          <w:tcPr>
            <w:tcW w:w="754" w:type="pct"/>
            <w:vAlign w:val="center"/>
          </w:tcPr>
          <w:p w14:paraId="2B59D657">
            <w:pPr>
              <w:widowControl w:val="0"/>
              <w:adjustRightInd w:val="0"/>
              <w:spacing w:after="0" w:line="400" w:lineRule="exact"/>
              <w:jc w:val="center"/>
              <w:rPr>
                <w:rFonts w:ascii="宋体" w:hAnsi="宋体" w:eastAsia="宋体" w:cs="Times New Roman"/>
                <w:kern w:val="2"/>
                <w:sz w:val="18"/>
                <w:szCs w:val="18"/>
              </w:rPr>
            </w:pPr>
            <w:r>
              <w:rPr>
                <w:rFonts w:ascii="宋体" w:hAnsi="宋体" w:eastAsia="宋体" w:cs="Times New Roman"/>
                <w:kern w:val="2"/>
                <w:sz w:val="18"/>
                <w:szCs w:val="18"/>
              </w:rPr>
              <w:t>-1.32</w:t>
            </w:r>
          </w:p>
        </w:tc>
        <w:tc>
          <w:tcPr>
            <w:tcW w:w="938" w:type="pct"/>
            <w:vAlign w:val="center"/>
          </w:tcPr>
          <w:p w14:paraId="30809B00">
            <w:pPr>
              <w:widowControl w:val="0"/>
              <w:adjustRightInd w:val="0"/>
              <w:spacing w:after="0" w:line="400" w:lineRule="exact"/>
              <w:jc w:val="center"/>
              <w:rPr>
                <w:rFonts w:ascii="宋体" w:hAnsi="宋体" w:eastAsia="宋体" w:cs="Times New Roman"/>
                <w:kern w:val="2"/>
                <w:sz w:val="18"/>
                <w:szCs w:val="18"/>
              </w:rPr>
            </w:pPr>
            <w:r>
              <w:rPr>
                <w:rFonts w:ascii="宋体" w:hAnsi="宋体" w:eastAsia="宋体" w:cs="Times New Roman"/>
                <w:kern w:val="2"/>
                <w:sz w:val="18"/>
                <w:szCs w:val="18"/>
              </w:rPr>
              <w:t>9.45</w:t>
            </w:r>
          </w:p>
        </w:tc>
        <w:tc>
          <w:tcPr>
            <w:tcW w:w="760" w:type="pct"/>
            <w:vAlign w:val="center"/>
          </w:tcPr>
          <w:p w14:paraId="50C72F35">
            <w:pPr>
              <w:widowControl w:val="0"/>
              <w:adjustRightInd w:val="0"/>
              <w:spacing w:after="0" w:line="400" w:lineRule="exact"/>
              <w:jc w:val="center"/>
              <w:rPr>
                <w:rFonts w:ascii="宋体" w:hAnsi="宋体" w:eastAsia="宋体" w:cs="Times New Roman"/>
                <w:kern w:val="2"/>
                <w:sz w:val="18"/>
                <w:szCs w:val="18"/>
              </w:rPr>
            </w:pPr>
            <w:r>
              <w:rPr>
                <w:rFonts w:ascii="宋体" w:hAnsi="宋体" w:eastAsia="宋体" w:cs="Times New Roman"/>
                <w:kern w:val="2"/>
                <w:sz w:val="18"/>
                <w:szCs w:val="18"/>
              </w:rPr>
              <w:t>92.3</w:t>
            </w:r>
          </w:p>
        </w:tc>
      </w:tr>
    </w:tbl>
    <w:p w14:paraId="3B99DCB1">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center"/>
        <w:textAlignment w:val="auto"/>
        <w:rPr>
          <w:rFonts w:hint="eastAsia" w:ascii="仿宋" w:hAnsi="仿宋" w:eastAsia="仿宋" w:cs="仿宋"/>
          <w:sz w:val="32"/>
          <w:szCs w:val="32"/>
        </w:rPr>
      </w:pPr>
      <w:r>
        <w:rPr>
          <w:rFonts w:hint="eastAsia" w:ascii="仿宋" w:hAnsi="仿宋" w:eastAsia="仿宋" w:cs="仿宋"/>
          <w:sz w:val="32"/>
          <w:szCs w:val="32"/>
        </w:rPr>
        <w:t>表5 地下生物量模型的评价指标</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1273"/>
        <w:gridCol w:w="1599"/>
        <w:gridCol w:w="1335"/>
        <w:gridCol w:w="1662"/>
        <w:gridCol w:w="1347"/>
      </w:tblGrid>
      <w:tr w14:paraId="4A0B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26" w:type="pct"/>
            <w:vMerge w:val="restart"/>
            <w:vAlign w:val="center"/>
          </w:tcPr>
          <w:p w14:paraId="1622A998">
            <w:pPr>
              <w:widowControl w:val="0"/>
              <w:adjustRightInd w:val="0"/>
              <w:spacing w:after="0" w:line="400" w:lineRule="exact"/>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样本数</w:t>
            </w:r>
          </w:p>
        </w:tc>
        <w:tc>
          <w:tcPr>
            <w:tcW w:w="4074" w:type="pct"/>
            <w:gridSpan w:val="5"/>
            <w:vAlign w:val="center"/>
          </w:tcPr>
          <w:p w14:paraId="4AD0DF18">
            <w:pPr>
              <w:widowControl w:val="0"/>
              <w:adjustRightInd w:val="0"/>
              <w:spacing w:after="0" w:line="400" w:lineRule="exact"/>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模型检验指标</w:t>
            </w:r>
          </w:p>
        </w:tc>
      </w:tr>
      <w:tr w14:paraId="48235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26" w:type="pct"/>
            <w:vMerge w:val="continue"/>
            <w:vAlign w:val="center"/>
          </w:tcPr>
          <w:p w14:paraId="36954A82">
            <w:pPr>
              <w:widowControl w:val="0"/>
              <w:adjustRightInd w:val="0"/>
              <w:spacing w:after="0" w:line="400" w:lineRule="exact"/>
              <w:jc w:val="center"/>
              <w:rPr>
                <w:rFonts w:hint="eastAsia" w:ascii="宋体" w:hAnsi="宋体" w:eastAsia="宋体" w:cs="Times New Roman"/>
                <w:kern w:val="0"/>
                <w:sz w:val="18"/>
                <w:szCs w:val="18"/>
              </w:rPr>
            </w:pPr>
          </w:p>
        </w:tc>
        <w:tc>
          <w:tcPr>
            <w:tcW w:w="1376" w:type="dxa"/>
            <w:vAlign w:val="center"/>
          </w:tcPr>
          <w:p w14:paraId="18582875">
            <w:pPr>
              <w:widowControl w:val="0"/>
              <w:adjustRightInd w:val="0"/>
              <w:spacing w:after="0" w:line="400" w:lineRule="exact"/>
              <w:jc w:val="center"/>
              <w:rPr>
                <w:rFonts w:hint="eastAsia" w:ascii="宋体" w:hAnsi="宋体" w:eastAsia="宋体" w:cs="Times New Roman"/>
                <w:kern w:val="0"/>
                <w:sz w:val="18"/>
                <w:szCs w:val="18"/>
              </w:rPr>
            </w:pPr>
            <w:r>
              <w:rPr>
                <w:rFonts w:ascii="宋体" w:hAnsi="宋体" w:eastAsia="宋体" w:cs="Times New Roman"/>
                <w:kern w:val="0"/>
                <w:sz w:val="18"/>
                <w:szCs w:val="18"/>
              </w:rPr>
              <w:t>MPE</w:t>
            </w:r>
          </w:p>
        </w:tc>
        <w:tc>
          <w:tcPr>
            <w:tcW w:w="1728" w:type="dxa"/>
            <w:vAlign w:val="center"/>
          </w:tcPr>
          <w:p w14:paraId="0914D212">
            <w:pPr>
              <w:widowControl w:val="0"/>
              <w:adjustRightInd w:val="0"/>
              <w:spacing w:after="0" w:line="400" w:lineRule="exact"/>
              <w:jc w:val="center"/>
              <w:rPr>
                <w:rFonts w:hint="eastAsia" w:ascii="宋体" w:hAnsi="宋体" w:eastAsia="宋体" w:cs="Times New Roman"/>
                <w:kern w:val="0"/>
                <w:sz w:val="18"/>
                <w:szCs w:val="18"/>
              </w:rPr>
            </w:pPr>
            <w:r>
              <w:rPr>
                <w:rFonts w:ascii="宋体" w:hAnsi="宋体" w:eastAsia="宋体" w:cs="Times New Roman"/>
                <w:kern w:val="0"/>
                <w:sz w:val="18"/>
                <w:szCs w:val="18"/>
              </w:rPr>
              <w:t>MPE</w:t>
            </w:r>
            <w:r>
              <w:rPr>
                <w:rFonts w:hint="eastAsia" w:ascii="宋体" w:hAnsi="宋体" w:eastAsia="宋体" w:cs="Times New Roman"/>
                <w:kern w:val="0"/>
                <w:sz w:val="18"/>
                <w:szCs w:val="18"/>
              </w:rPr>
              <w:t>（</w:t>
            </w:r>
            <w:r>
              <w:rPr>
                <w:rFonts w:ascii="宋体" w:hAnsi="宋体" w:eastAsia="宋体" w:cs="Times New Roman"/>
                <w:kern w:val="0"/>
                <w:sz w:val="18"/>
                <w:szCs w:val="18"/>
              </w:rPr>
              <w:t>%</w:t>
            </w:r>
            <w:r>
              <w:rPr>
                <w:rFonts w:hint="eastAsia" w:ascii="宋体" w:hAnsi="宋体" w:eastAsia="宋体" w:cs="Times New Roman"/>
                <w:kern w:val="0"/>
                <w:sz w:val="18"/>
                <w:szCs w:val="18"/>
              </w:rPr>
              <w:t>）</w:t>
            </w:r>
          </w:p>
        </w:tc>
        <w:tc>
          <w:tcPr>
            <w:tcW w:w="1443" w:type="dxa"/>
            <w:vAlign w:val="center"/>
          </w:tcPr>
          <w:p w14:paraId="7ECBAD8A">
            <w:pPr>
              <w:widowControl w:val="0"/>
              <w:adjustRightInd w:val="0"/>
              <w:spacing w:after="0" w:line="400" w:lineRule="exact"/>
              <w:jc w:val="center"/>
              <w:rPr>
                <w:rFonts w:hint="eastAsia" w:ascii="宋体" w:hAnsi="宋体" w:eastAsia="宋体" w:cs="Times New Roman"/>
                <w:kern w:val="0"/>
                <w:sz w:val="18"/>
                <w:szCs w:val="18"/>
              </w:rPr>
            </w:pPr>
            <w:r>
              <w:rPr>
                <w:rFonts w:ascii="宋体" w:hAnsi="宋体" w:eastAsia="宋体" w:cs="Times New Roman"/>
                <w:kern w:val="0"/>
                <w:sz w:val="18"/>
                <w:szCs w:val="18"/>
              </w:rPr>
              <w:t>MAE</w:t>
            </w:r>
          </w:p>
        </w:tc>
        <w:tc>
          <w:tcPr>
            <w:tcW w:w="1795" w:type="dxa"/>
            <w:vAlign w:val="center"/>
          </w:tcPr>
          <w:p w14:paraId="66CD7F64">
            <w:pPr>
              <w:widowControl w:val="0"/>
              <w:adjustRightInd w:val="0"/>
              <w:spacing w:after="0" w:line="400" w:lineRule="exact"/>
              <w:jc w:val="center"/>
              <w:rPr>
                <w:rFonts w:hint="eastAsia" w:ascii="宋体" w:hAnsi="宋体" w:eastAsia="宋体" w:cs="Times New Roman"/>
                <w:kern w:val="0"/>
                <w:sz w:val="18"/>
                <w:szCs w:val="18"/>
              </w:rPr>
            </w:pPr>
            <w:r>
              <w:rPr>
                <w:rFonts w:ascii="宋体" w:hAnsi="宋体" w:eastAsia="宋体" w:cs="Times New Roman"/>
                <w:kern w:val="0"/>
                <w:sz w:val="18"/>
                <w:szCs w:val="18"/>
              </w:rPr>
              <w:t>MAE</w:t>
            </w:r>
            <w:r>
              <w:rPr>
                <w:rFonts w:hint="eastAsia" w:ascii="宋体" w:hAnsi="宋体" w:eastAsia="宋体" w:cs="Times New Roman"/>
                <w:kern w:val="0"/>
                <w:sz w:val="18"/>
                <w:szCs w:val="18"/>
              </w:rPr>
              <w:t>（</w:t>
            </w:r>
            <w:r>
              <w:rPr>
                <w:rFonts w:ascii="宋体" w:hAnsi="宋体" w:eastAsia="宋体" w:cs="Times New Roman"/>
                <w:kern w:val="0"/>
                <w:sz w:val="18"/>
                <w:szCs w:val="18"/>
              </w:rPr>
              <w:t>%</w:t>
            </w:r>
            <w:r>
              <w:rPr>
                <w:rFonts w:hint="eastAsia" w:ascii="宋体" w:hAnsi="宋体" w:eastAsia="宋体" w:cs="Times New Roman"/>
                <w:kern w:val="0"/>
                <w:sz w:val="18"/>
                <w:szCs w:val="18"/>
              </w:rPr>
              <w:t>）</w:t>
            </w:r>
          </w:p>
        </w:tc>
        <w:tc>
          <w:tcPr>
            <w:tcW w:w="1456" w:type="dxa"/>
            <w:vAlign w:val="center"/>
          </w:tcPr>
          <w:p w14:paraId="749D0DB2">
            <w:pPr>
              <w:widowControl w:val="0"/>
              <w:adjustRightInd w:val="0"/>
              <w:spacing w:after="0" w:line="400" w:lineRule="exact"/>
              <w:jc w:val="center"/>
              <w:rPr>
                <w:rFonts w:hint="eastAsia" w:ascii="宋体" w:hAnsi="宋体" w:eastAsia="宋体" w:cs="Times New Roman"/>
                <w:i/>
                <w:iCs/>
                <w:kern w:val="0"/>
                <w:sz w:val="18"/>
                <w:szCs w:val="18"/>
              </w:rPr>
            </w:pPr>
            <w:r>
              <w:rPr>
                <w:rFonts w:hint="eastAsia" w:ascii="宋体" w:hAnsi="宋体" w:eastAsia="宋体" w:cs="Times New Roman"/>
                <w:kern w:val="0"/>
                <w:sz w:val="18"/>
                <w:szCs w:val="18"/>
              </w:rPr>
              <w:t>精度（</w:t>
            </w:r>
            <w:r>
              <w:rPr>
                <w:rFonts w:ascii="宋体" w:hAnsi="宋体" w:eastAsia="宋体" w:cs="Times New Roman"/>
                <w:kern w:val="0"/>
                <w:sz w:val="18"/>
                <w:szCs w:val="18"/>
              </w:rPr>
              <w:t>%</w:t>
            </w:r>
            <w:r>
              <w:rPr>
                <w:rFonts w:hint="eastAsia" w:ascii="宋体" w:hAnsi="宋体" w:eastAsia="宋体" w:cs="Times New Roman"/>
                <w:kern w:val="0"/>
                <w:sz w:val="18"/>
                <w:szCs w:val="18"/>
              </w:rPr>
              <w:t>）</w:t>
            </w:r>
          </w:p>
        </w:tc>
      </w:tr>
      <w:tr w14:paraId="1F60B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26" w:type="pct"/>
            <w:vAlign w:val="center"/>
          </w:tcPr>
          <w:p w14:paraId="0E7B44AE">
            <w:pPr>
              <w:widowControl w:val="0"/>
              <w:adjustRightInd w:val="0"/>
              <w:spacing w:after="0" w:line="400" w:lineRule="exact"/>
              <w:jc w:val="center"/>
              <w:rPr>
                <w:rFonts w:ascii="宋体" w:hAnsi="宋体" w:eastAsia="宋体" w:cs="Times New Roman"/>
                <w:kern w:val="2"/>
                <w:sz w:val="18"/>
                <w:szCs w:val="18"/>
              </w:rPr>
            </w:pPr>
            <w:r>
              <w:rPr>
                <w:rFonts w:ascii="宋体" w:hAnsi="宋体" w:eastAsia="宋体" w:cs="Times New Roman"/>
                <w:kern w:val="2"/>
                <w:sz w:val="18"/>
                <w:szCs w:val="18"/>
              </w:rPr>
              <w:t>98</w:t>
            </w:r>
          </w:p>
        </w:tc>
        <w:tc>
          <w:tcPr>
            <w:tcW w:w="719" w:type="pct"/>
            <w:vAlign w:val="center"/>
          </w:tcPr>
          <w:p w14:paraId="2A068900">
            <w:pPr>
              <w:widowControl w:val="0"/>
              <w:adjustRightInd w:val="0"/>
              <w:spacing w:after="0" w:line="400" w:lineRule="exact"/>
              <w:jc w:val="center"/>
              <w:rPr>
                <w:rFonts w:ascii="宋体" w:hAnsi="宋体" w:eastAsia="宋体" w:cs="Times New Roman"/>
                <w:kern w:val="2"/>
                <w:sz w:val="18"/>
                <w:szCs w:val="18"/>
              </w:rPr>
            </w:pPr>
            <w:r>
              <w:rPr>
                <w:rFonts w:ascii="宋体" w:hAnsi="宋体" w:eastAsia="宋体" w:cs="Times New Roman"/>
                <w:kern w:val="2"/>
                <w:sz w:val="18"/>
                <w:szCs w:val="18"/>
              </w:rPr>
              <w:t>3.85</w:t>
            </w:r>
          </w:p>
        </w:tc>
        <w:tc>
          <w:tcPr>
            <w:tcW w:w="903" w:type="pct"/>
            <w:vAlign w:val="center"/>
          </w:tcPr>
          <w:p w14:paraId="57C28AE8">
            <w:pPr>
              <w:widowControl w:val="0"/>
              <w:adjustRightInd w:val="0"/>
              <w:spacing w:after="0" w:line="400" w:lineRule="exact"/>
              <w:jc w:val="center"/>
              <w:rPr>
                <w:rFonts w:ascii="宋体" w:hAnsi="宋体" w:eastAsia="宋体" w:cs="Times New Roman"/>
                <w:kern w:val="2"/>
                <w:sz w:val="18"/>
                <w:szCs w:val="18"/>
              </w:rPr>
            </w:pPr>
            <w:r>
              <w:rPr>
                <w:rFonts w:ascii="宋体" w:hAnsi="宋体" w:eastAsia="宋体" w:cs="Times New Roman"/>
                <w:kern w:val="2"/>
                <w:sz w:val="18"/>
                <w:szCs w:val="18"/>
              </w:rPr>
              <w:t>8.20</w:t>
            </w:r>
          </w:p>
        </w:tc>
        <w:tc>
          <w:tcPr>
            <w:tcW w:w="754" w:type="pct"/>
            <w:vAlign w:val="center"/>
          </w:tcPr>
          <w:p w14:paraId="5D57D22D">
            <w:pPr>
              <w:widowControl w:val="0"/>
              <w:adjustRightInd w:val="0"/>
              <w:spacing w:after="0" w:line="400" w:lineRule="exact"/>
              <w:jc w:val="center"/>
              <w:rPr>
                <w:rFonts w:ascii="宋体" w:hAnsi="宋体" w:eastAsia="宋体" w:cs="Times New Roman"/>
                <w:kern w:val="2"/>
                <w:sz w:val="18"/>
                <w:szCs w:val="18"/>
              </w:rPr>
            </w:pPr>
            <w:r>
              <w:rPr>
                <w:rFonts w:ascii="宋体" w:hAnsi="宋体" w:eastAsia="宋体" w:cs="Times New Roman"/>
                <w:kern w:val="2"/>
                <w:sz w:val="18"/>
                <w:szCs w:val="18"/>
              </w:rPr>
              <w:t>-1.96</w:t>
            </w:r>
          </w:p>
        </w:tc>
        <w:tc>
          <w:tcPr>
            <w:tcW w:w="938" w:type="pct"/>
            <w:vAlign w:val="center"/>
          </w:tcPr>
          <w:p w14:paraId="0D26F7C5">
            <w:pPr>
              <w:widowControl w:val="0"/>
              <w:adjustRightInd w:val="0"/>
              <w:spacing w:after="0" w:line="400" w:lineRule="exact"/>
              <w:jc w:val="center"/>
              <w:rPr>
                <w:rFonts w:ascii="宋体" w:hAnsi="宋体" w:eastAsia="宋体" w:cs="Times New Roman"/>
                <w:kern w:val="2"/>
                <w:sz w:val="18"/>
                <w:szCs w:val="18"/>
              </w:rPr>
            </w:pPr>
            <w:r>
              <w:rPr>
                <w:rFonts w:ascii="宋体" w:hAnsi="宋体" w:eastAsia="宋体" w:cs="Times New Roman"/>
                <w:kern w:val="2"/>
                <w:sz w:val="18"/>
                <w:szCs w:val="18"/>
              </w:rPr>
              <w:t>14.85</w:t>
            </w:r>
          </w:p>
        </w:tc>
        <w:tc>
          <w:tcPr>
            <w:tcW w:w="760" w:type="pct"/>
            <w:vAlign w:val="center"/>
          </w:tcPr>
          <w:p w14:paraId="2AFBF7DD">
            <w:pPr>
              <w:widowControl w:val="0"/>
              <w:adjustRightInd w:val="0"/>
              <w:spacing w:after="0" w:line="400" w:lineRule="exact"/>
              <w:jc w:val="center"/>
              <w:rPr>
                <w:rFonts w:ascii="宋体" w:hAnsi="宋体" w:eastAsia="宋体" w:cs="Times New Roman"/>
                <w:kern w:val="2"/>
                <w:sz w:val="18"/>
                <w:szCs w:val="18"/>
              </w:rPr>
            </w:pPr>
            <w:r>
              <w:rPr>
                <w:rFonts w:ascii="宋体" w:hAnsi="宋体" w:eastAsia="宋体" w:cs="Times New Roman"/>
                <w:kern w:val="2"/>
                <w:sz w:val="18"/>
                <w:szCs w:val="18"/>
              </w:rPr>
              <w:t>90.8</w:t>
            </w:r>
          </w:p>
        </w:tc>
      </w:tr>
    </w:tbl>
    <w:p w14:paraId="0823DE7E">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center"/>
        <w:textAlignment w:val="auto"/>
        <w:rPr>
          <w:rFonts w:hint="eastAsia" w:ascii="仿宋" w:hAnsi="仿宋" w:eastAsia="仿宋" w:cs="仿宋"/>
          <w:sz w:val="32"/>
          <w:szCs w:val="32"/>
        </w:rPr>
      </w:pPr>
      <w:r>
        <w:rPr>
          <w:rFonts w:hint="eastAsia" w:ascii="仿宋" w:hAnsi="仿宋" w:eastAsia="仿宋" w:cs="仿宋"/>
          <w:sz w:val="32"/>
          <w:szCs w:val="32"/>
        </w:rPr>
        <w:t>表6 相容性生物量模型的评价指标</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272"/>
        <w:gridCol w:w="1598"/>
        <w:gridCol w:w="1334"/>
        <w:gridCol w:w="1660"/>
        <w:gridCol w:w="1354"/>
      </w:tblGrid>
      <w:tr w14:paraId="46AE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25" w:type="pct"/>
            <w:vMerge w:val="restart"/>
            <w:vAlign w:val="center"/>
          </w:tcPr>
          <w:p w14:paraId="55069228">
            <w:pPr>
              <w:widowControl w:val="0"/>
              <w:adjustRightInd w:val="0"/>
              <w:spacing w:after="0" w:line="400" w:lineRule="exact"/>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样本数</w:t>
            </w:r>
          </w:p>
        </w:tc>
        <w:tc>
          <w:tcPr>
            <w:tcW w:w="4074" w:type="pct"/>
            <w:gridSpan w:val="5"/>
            <w:vAlign w:val="center"/>
          </w:tcPr>
          <w:p w14:paraId="7821E07E">
            <w:pPr>
              <w:widowControl w:val="0"/>
              <w:adjustRightInd w:val="0"/>
              <w:spacing w:after="0" w:line="400" w:lineRule="exact"/>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模型检验指标</w:t>
            </w:r>
          </w:p>
        </w:tc>
      </w:tr>
      <w:tr w14:paraId="63D61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25" w:type="pct"/>
            <w:vMerge w:val="continue"/>
            <w:vAlign w:val="center"/>
          </w:tcPr>
          <w:p w14:paraId="27901546">
            <w:pPr>
              <w:widowControl w:val="0"/>
              <w:adjustRightInd w:val="0"/>
              <w:spacing w:after="0" w:line="400" w:lineRule="exact"/>
              <w:jc w:val="center"/>
              <w:rPr>
                <w:rFonts w:hint="eastAsia" w:ascii="宋体" w:hAnsi="宋体" w:eastAsia="宋体" w:cs="Times New Roman"/>
                <w:kern w:val="0"/>
                <w:sz w:val="18"/>
                <w:szCs w:val="18"/>
              </w:rPr>
            </w:pPr>
          </w:p>
        </w:tc>
        <w:tc>
          <w:tcPr>
            <w:tcW w:w="718" w:type="pct"/>
            <w:vAlign w:val="center"/>
          </w:tcPr>
          <w:p w14:paraId="5D8CEA41">
            <w:pPr>
              <w:widowControl w:val="0"/>
              <w:adjustRightInd w:val="0"/>
              <w:spacing w:after="0" w:line="400" w:lineRule="exact"/>
              <w:jc w:val="center"/>
              <w:rPr>
                <w:rFonts w:hint="eastAsia" w:ascii="宋体" w:hAnsi="宋体" w:eastAsia="宋体" w:cs="Times New Roman"/>
                <w:kern w:val="0"/>
                <w:sz w:val="18"/>
                <w:szCs w:val="18"/>
              </w:rPr>
            </w:pPr>
            <w:r>
              <w:rPr>
                <w:rFonts w:ascii="宋体" w:hAnsi="宋体" w:eastAsia="宋体" w:cs="Times New Roman"/>
                <w:kern w:val="0"/>
                <w:sz w:val="18"/>
                <w:szCs w:val="18"/>
              </w:rPr>
              <w:t>MPE</w:t>
            </w:r>
          </w:p>
        </w:tc>
        <w:tc>
          <w:tcPr>
            <w:tcW w:w="902" w:type="pct"/>
            <w:vAlign w:val="center"/>
          </w:tcPr>
          <w:p w14:paraId="0203B8ED">
            <w:pPr>
              <w:widowControl w:val="0"/>
              <w:adjustRightInd w:val="0"/>
              <w:spacing w:after="0" w:line="400" w:lineRule="exact"/>
              <w:jc w:val="center"/>
              <w:rPr>
                <w:rFonts w:hint="eastAsia" w:ascii="宋体" w:hAnsi="宋体" w:eastAsia="宋体" w:cs="Times New Roman"/>
                <w:kern w:val="0"/>
                <w:sz w:val="18"/>
                <w:szCs w:val="18"/>
              </w:rPr>
            </w:pPr>
            <w:r>
              <w:rPr>
                <w:rFonts w:ascii="宋体" w:hAnsi="宋体" w:eastAsia="宋体" w:cs="Times New Roman"/>
                <w:kern w:val="0"/>
                <w:sz w:val="18"/>
                <w:szCs w:val="18"/>
              </w:rPr>
              <w:t>MPE</w:t>
            </w:r>
            <w:r>
              <w:rPr>
                <w:rFonts w:hint="eastAsia" w:ascii="宋体" w:hAnsi="宋体" w:eastAsia="宋体" w:cs="Times New Roman"/>
                <w:kern w:val="0"/>
                <w:sz w:val="18"/>
                <w:szCs w:val="18"/>
              </w:rPr>
              <w:t>（</w:t>
            </w:r>
            <w:r>
              <w:rPr>
                <w:rFonts w:ascii="宋体" w:hAnsi="宋体" w:eastAsia="宋体" w:cs="Times New Roman"/>
                <w:kern w:val="0"/>
                <w:sz w:val="18"/>
                <w:szCs w:val="18"/>
              </w:rPr>
              <w:t>%</w:t>
            </w:r>
            <w:r>
              <w:rPr>
                <w:rFonts w:hint="eastAsia" w:ascii="宋体" w:hAnsi="宋体" w:eastAsia="宋体" w:cs="Times New Roman"/>
                <w:kern w:val="0"/>
                <w:sz w:val="18"/>
                <w:szCs w:val="18"/>
              </w:rPr>
              <w:t>）</w:t>
            </w:r>
          </w:p>
        </w:tc>
        <w:tc>
          <w:tcPr>
            <w:tcW w:w="753" w:type="pct"/>
            <w:vAlign w:val="center"/>
          </w:tcPr>
          <w:p w14:paraId="63DA127E">
            <w:pPr>
              <w:widowControl w:val="0"/>
              <w:adjustRightInd w:val="0"/>
              <w:spacing w:after="0" w:line="400" w:lineRule="exact"/>
              <w:jc w:val="center"/>
              <w:rPr>
                <w:rFonts w:hint="eastAsia" w:ascii="宋体" w:hAnsi="宋体" w:eastAsia="宋体" w:cs="Times New Roman"/>
                <w:kern w:val="0"/>
                <w:sz w:val="18"/>
                <w:szCs w:val="18"/>
              </w:rPr>
            </w:pPr>
            <w:r>
              <w:rPr>
                <w:rFonts w:ascii="宋体" w:hAnsi="宋体" w:eastAsia="宋体" w:cs="Times New Roman"/>
                <w:kern w:val="0"/>
                <w:sz w:val="18"/>
                <w:szCs w:val="18"/>
              </w:rPr>
              <w:t>MAE</w:t>
            </w:r>
          </w:p>
        </w:tc>
        <w:tc>
          <w:tcPr>
            <w:tcW w:w="937" w:type="pct"/>
            <w:vAlign w:val="center"/>
          </w:tcPr>
          <w:p w14:paraId="40046708">
            <w:pPr>
              <w:widowControl w:val="0"/>
              <w:adjustRightInd w:val="0"/>
              <w:spacing w:after="0" w:line="400" w:lineRule="exact"/>
              <w:jc w:val="center"/>
              <w:rPr>
                <w:rFonts w:hint="eastAsia" w:ascii="宋体" w:hAnsi="宋体" w:eastAsia="宋体" w:cs="Times New Roman"/>
                <w:kern w:val="0"/>
                <w:sz w:val="18"/>
                <w:szCs w:val="18"/>
              </w:rPr>
            </w:pPr>
            <w:r>
              <w:rPr>
                <w:rFonts w:ascii="宋体" w:hAnsi="宋体" w:eastAsia="宋体" w:cs="Times New Roman"/>
                <w:kern w:val="0"/>
                <w:sz w:val="18"/>
                <w:szCs w:val="18"/>
              </w:rPr>
              <w:t>MAE</w:t>
            </w:r>
            <w:r>
              <w:rPr>
                <w:rFonts w:hint="eastAsia" w:ascii="宋体" w:hAnsi="宋体" w:eastAsia="宋体" w:cs="Times New Roman"/>
                <w:kern w:val="0"/>
                <w:sz w:val="18"/>
                <w:szCs w:val="18"/>
              </w:rPr>
              <w:t>（</w:t>
            </w:r>
            <w:r>
              <w:rPr>
                <w:rFonts w:ascii="宋体" w:hAnsi="宋体" w:eastAsia="宋体" w:cs="Times New Roman"/>
                <w:kern w:val="0"/>
                <w:sz w:val="18"/>
                <w:szCs w:val="18"/>
              </w:rPr>
              <w:t>%</w:t>
            </w:r>
            <w:r>
              <w:rPr>
                <w:rFonts w:hint="eastAsia" w:ascii="宋体" w:hAnsi="宋体" w:eastAsia="宋体" w:cs="Times New Roman"/>
                <w:kern w:val="0"/>
                <w:sz w:val="18"/>
                <w:szCs w:val="18"/>
              </w:rPr>
              <w:t>）</w:t>
            </w:r>
          </w:p>
        </w:tc>
        <w:tc>
          <w:tcPr>
            <w:tcW w:w="760" w:type="pct"/>
            <w:vAlign w:val="center"/>
          </w:tcPr>
          <w:p w14:paraId="03F18709">
            <w:pPr>
              <w:widowControl w:val="0"/>
              <w:adjustRightInd w:val="0"/>
              <w:spacing w:after="0" w:line="400" w:lineRule="exact"/>
              <w:jc w:val="center"/>
              <w:rPr>
                <w:rFonts w:hint="eastAsia" w:ascii="宋体" w:hAnsi="宋体" w:eastAsia="宋体" w:cs="Times New Roman"/>
                <w:i/>
                <w:iCs/>
                <w:kern w:val="0"/>
                <w:sz w:val="18"/>
                <w:szCs w:val="18"/>
              </w:rPr>
            </w:pPr>
            <w:r>
              <w:rPr>
                <w:rFonts w:hint="eastAsia" w:ascii="宋体" w:hAnsi="宋体" w:eastAsia="宋体" w:cs="Times New Roman"/>
                <w:kern w:val="0"/>
                <w:sz w:val="18"/>
                <w:szCs w:val="18"/>
              </w:rPr>
              <w:t>精度（</w:t>
            </w:r>
            <w:r>
              <w:rPr>
                <w:rFonts w:ascii="宋体" w:hAnsi="宋体" w:eastAsia="宋体" w:cs="Times New Roman"/>
                <w:kern w:val="0"/>
                <w:sz w:val="18"/>
                <w:szCs w:val="18"/>
              </w:rPr>
              <w:t>%</w:t>
            </w:r>
            <w:r>
              <w:rPr>
                <w:rFonts w:hint="eastAsia" w:ascii="宋体" w:hAnsi="宋体" w:eastAsia="宋体" w:cs="Times New Roman"/>
                <w:kern w:val="0"/>
                <w:sz w:val="18"/>
                <w:szCs w:val="18"/>
              </w:rPr>
              <w:t>）</w:t>
            </w:r>
          </w:p>
        </w:tc>
      </w:tr>
      <w:tr w14:paraId="5261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25" w:type="pct"/>
            <w:vAlign w:val="center"/>
          </w:tcPr>
          <w:p w14:paraId="2670F689">
            <w:pPr>
              <w:widowControl w:val="0"/>
              <w:adjustRightInd w:val="0"/>
              <w:spacing w:after="0" w:line="400" w:lineRule="exact"/>
              <w:jc w:val="center"/>
              <w:rPr>
                <w:rFonts w:ascii="宋体" w:hAnsi="宋体" w:eastAsia="宋体" w:cs="Times New Roman"/>
                <w:kern w:val="2"/>
                <w:sz w:val="18"/>
                <w:szCs w:val="18"/>
              </w:rPr>
            </w:pPr>
            <w:r>
              <w:rPr>
                <w:rFonts w:ascii="宋体" w:hAnsi="宋体" w:eastAsia="宋体" w:cs="Times New Roman"/>
                <w:kern w:val="2"/>
                <w:sz w:val="18"/>
                <w:szCs w:val="18"/>
              </w:rPr>
              <w:t>85</w:t>
            </w:r>
          </w:p>
        </w:tc>
        <w:tc>
          <w:tcPr>
            <w:tcW w:w="718" w:type="pct"/>
            <w:vAlign w:val="center"/>
          </w:tcPr>
          <w:p w14:paraId="56AEB3B2">
            <w:pPr>
              <w:widowControl w:val="0"/>
              <w:adjustRightInd w:val="0"/>
              <w:spacing w:after="0" w:line="400" w:lineRule="exact"/>
              <w:jc w:val="center"/>
              <w:rPr>
                <w:rFonts w:ascii="宋体" w:hAnsi="宋体" w:eastAsia="宋体" w:cs="Times New Roman"/>
                <w:kern w:val="2"/>
                <w:sz w:val="18"/>
                <w:szCs w:val="18"/>
              </w:rPr>
            </w:pPr>
            <w:r>
              <w:rPr>
                <w:rFonts w:ascii="宋体" w:hAnsi="宋体" w:eastAsia="宋体" w:cs="Times New Roman"/>
                <w:kern w:val="2"/>
                <w:sz w:val="18"/>
                <w:szCs w:val="18"/>
              </w:rPr>
              <w:t>3.25</w:t>
            </w:r>
          </w:p>
        </w:tc>
        <w:tc>
          <w:tcPr>
            <w:tcW w:w="902" w:type="pct"/>
            <w:vAlign w:val="center"/>
          </w:tcPr>
          <w:p w14:paraId="073089E9">
            <w:pPr>
              <w:widowControl w:val="0"/>
              <w:adjustRightInd w:val="0"/>
              <w:spacing w:after="0" w:line="400" w:lineRule="exact"/>
              <w:jc w:val="center"/>
              <w:rPr>
                <w:rFonts w:ascii="宋体" w:hAnsi="宋体" w:eastAsia="宋体" w:cs="Times New Roman"/>
                <w:kern w:val="2"/>
                <w:sz w:val="18"/>
                <w:szCs w:val="18"/>
              </w:rPr>
            </w:pPr>
            <w:r>
              <w:rPr>
                <w:rFonts w:ascii="宋体" w:hAnsi="宋体" w:eastAsia="宋体" w:cs="Times New Roman"/>
                <w:kern w:val="2"/>
                <w:sz w:val="18"/>
                <w:szCs w:val="18"/>
              </w:rPr>
              <w:t>6.80</w:t>
            </w:r>
          </w:p>
        </w:tc>
        <w:tc>
          <w:tcPr>
            <w:tcW w:w="753" w:type="pct"/>
            <w:vAlign w:val="center"/>
          </w:tcPr>
          <w:p w14:paraId="6C2765BE">
            <w:pPr>
              <w:widowControl w:val="0"/>
              <w:adjustRightInd w:val="0"/>
              <w:spacing w:after="0" w:line="400" w:lineRule="exact"/>
              <w:jc w:val="center"/>
              <w:rPr>
                <w:rFonts w:ascii="宋体" w:hAnsi="宋体" w:eastAsia="宋体" w:cs="Times New Roman"/>
                <w:kern w:val="2"/>
                <w:sz w:val="18"/>
                <w:szCs w:val="18"/>
              </w:rPr>
            </w:pPr>
            <w:r>
              <w:rPr>
                <w:rFonts w:ascii="宋体" w:hAnsi="宋体" w:eastAsia="宋体" w:cs="Times New Roman"/>
                <w:kern w:val="2"/>
                <w:sz w:val="18"/>
                <w:szCs w:val="18"/>
              </w:rPr>
              <w:t>-1.65</w:t>
            </w:r>
          </w:p>
        </w:tc>
        <w:tc>
          <w:tcPr>
            <w:tcW w:w="937" w:type="pct"/>
            <w:vAlign w:val="center"/>
          </w:tcPr>
          <w:p w14:paraId="3E770968">
            <w:pPr>
              <w:widowControl w:val="0"/>
              <w:adjustRightInd w:val="0"/>
              <w:spacing w:after="0" w:line="400" w:lineRule="exact"/>
              <w:jc w:val="center"/>
              <w:rPr>
                <w:rFonts w:ascii="宋体" w:hAnsi="宋体" w:eastAsia="宋体" w:cs="Times New Roman"/>
                <w:kern w:val="2"/>
                <w:sz w:val="18"/>
                <w:szCs w:val="18"/>
              </w:rPr>
            </w:pPr>
            <w:r>
              <w:rPr>
                <w:rFonts w:ascii="宋体" w:hAnsi="宋体" w:eastAsia="宋体" w:cs="Times New Roman"/>
                <w:kern w:val="2"/>
                <w:sz w:val="18"/>
                <w:szCs w:val="18"/>
              </w:rPr>
              <w:t>12.50</w:t>
            </w:r>
          </w:p>
        </w:tc>
        <w:tc>
          <w:tcPr>
            <w:tcW w:w="760" w:type="pct"/>
            <w:vAlign w:val="center"/>
          </w:tcPr>
          <w:p w14:paraId="77B0BD75">
            <w:pPr>
              <w:widowControl w:val="0"/>
              <w:adjustRightInd w:val="0"/>
              <w:spacing w:after="0" w:line="400" w:lineRule="exact"/>
              <w:jc w:val="center"/>
              <w:rPr>
                <w:rFonts w:ascii="宋体" w:hAnsi="宋体" w:eastAsia="宋体" w:cs="Times New Roman"/>
                <w:kern w:val="2"/>
                <w:sz w:val="18"/>
                <w:szCs w:val="18"/>
              </w:rPr>
            </w:pPr>
            <w:r>
              <w:rPr>
                <w:rFonts w:ascii="宋体" w:hAnsi="宋体" w:eastAsia="宋体" w:cs="Times New Roman"/>
                <w:kern w:val="2"/>
                <w:sz w:val="18"/>
                <w:szCs w:val="18"/>
              </w:rPr>
              <w:t>91.5</w:t>
            </w:r>
          </w:p>
        </w:tc>
      </w:tr>
    </w:tbl>
    <w:p w14:paraId="5A64D8DE">
      <w:pPr>
        <w:pStyle w:val="26"/>
        <w:numPr>
          <w:ilvl w:val="0"/>
          <w:numId w:val="0"/>
        </w:numPr>
        <w:ind w:leftChars="0"/>
        <w:jc w:val="left"/>
        <w:rPr>
          <w:rFonts w:hint="eastAsia" w:ascii="仿宋" w:hAnsi="仿宋" w:eastAsia="仿宋" w:cs="仿宋"/>
          <w:sz w:val="32"/>
          <w:szCs w:val="32"/>
        </w:rPr>
      </w:pPr>
      <w:r>
        <w:rPr>
          <w:rFonts w:hint="eastAsia" w:ascii="仿宋" w:hAnsi="仿宋" w:eastAsia="仿宋" w:cs="仿宋"/>
          <w:sz w:val="32"/>
          <w:szCs w:val="32"/>
        </w:rPr>
        <w:t>4. 含碳系数测定结果</w:t>
      </w:r>
    </w:p>
    <w:bookmarkEnd w:id="16"/>
    <w:p w14:paraId="6B91F4E9">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lang w:val="en-US" w:eastAsia="zh-CN"/>
        </w:rPr>
      </w:pPr>
      <w:bookmarkStart w:id="17" w:name="模型评价"/>
      <w:r>
        <w:rPr>
          <w:rFonts w:hint="eastAsia" w:ascii="仿宋" w:hAnsi="仿宋" w:eastAsia="仿宋" w:cs="仿宋"/>
          <w:sz w:val="32"/>
          <w:szCs w:val="32"/>
          <w:lang w:val="en-US" w:eastAsia="zh-CN"/>
        </w:rPr>
        <w:t>对樟子松各器官进行取样，采用碳氮分析仪测定其含碳系数，见表7。</w:t>
      </w:r>
    </w:p>
    <w:p w14:paraId="596D8149">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center"/>
        <w:textAlignment w:val="auto"/>
        <w:rPr>
          <w:rFonts w:hint="eastAsia" w:ascii="仿宋" w:hAnsi="仿宋" w:eastAsia="仿宋" w:cs="仿宋"/>
          <w:sz w:val="32"/>
          <w:szCs w:val="32"/>
        </w:rPr>
      </w:pPr>
      <w:r>
        <w:rPr>
          <w:rFonts w:hint="eastAsia" w:ascii="仿宋" w:hAnsi="仿宋" w:eastAsia="仿宋" w:cs="仿宋"/>
          <w:sz w:val="32"/>
          <w:szCs w:val="32"/>
        </w:rPr>
        <w:t xml:space="preserve">表7 </w:t>
      </w:r>
      <w:r>
        <w:rPr>
          <w:rFonts w:hint="eastAsia" w:ascii="仿宋" w:hAnsi="仿宋" w:eastAsia="仿宋" w:cs="仿宋"/>
          <w:sz w:val="32"/>
          <w:szCs w:val="32"/>
          <w:lang w:val="en-US" w:eastAsia="zh-CN"/>
        </w:rPr>
        <w:t>樟子松</w:t>
      </w:r>
      <w:r>
        <w:rPr>
          <w:rFonts w:hint="eastAsia" w:ascii="仿宋" w:hAnsi="仿宋" w:eastAsia="仿宋" w:cs="仿宋"/>
          <w:sz w:val="32"/>
          <w:szCs w:val="32"/>
        </w:rPr>
        <w:t>各器官含碳系数</w:t>
      </w:r>
      <w:bookmarkEnd w:id="10"/>
      <w:bookmarkEnd w:id="11"/>
      <w:bookmarkEnd w:id="17"/>
    </w:p>
    <w:tbl>
      <w:tblPr>
        <w:tblStyle w:val="19"/>
        <w:tblW w:w="4998" w:type="pct"/>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92"/>
        <w:gridCol w:w="1187"/>
        <w:gridCol w:w="918"/>
        <w:gridCol w:w="921"/>
        <w:gridCol w:w="921"/>
        <w:gridCol w:w="921"/>
        <w:gridCol w:w="921"/>
        <w:gridCol w:w="922"/>
        <w:gridCol w:w="949"/>
      </w:tblGrid>
      <w:tr w14:paraId="698598BE">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673" w:type="pct"/>
            <w:tcBorders>
              <w:bottom w:val="single" w:color="008000" w:sz="12" w:space="0"/>
            </w:tcBorders>
            <w:vAlign w:val="center"/>
          </w:tcPr>
          <w:p w14:paraId="72D286E7">
            <w:pPr>
              <w:widowControl w:val="0"/>
              <w:adjustRightInd w:val="0"/>
              <w:spacing w:after="0" w:line="400" w:lineRule="exact"/>
              <w:jc w:val="center"/>
              <w:rPr>
                <w:rFonts w:ascii="宋体" w:hAnsi="宋体" w:eastAsia="宋体" w:cs="Times New Roman"/>
                <w:color w:val="000000"/>
                <w:kern w:val="2"/>
                <w:sz w:val="18"/>
                <w:szCs w:val="18"/>
              </w:rPr>
            </w:pPr>
            <w:bookmarkStart w:id="18" w:name="十其他应予说明的重要事项"/>
            <w:r>
              <w:rPr>
                <w:rFonts w:hint="eastAsia" w:ascii="宋体" w:hAnsi="宋体" w:eastAsia="宋体" w:cs="Times New Roman"/>
                <w:kern w:val="2"/>
                <w:sz w:val="18"/>
                <w:szCs w:val="18"/>
              </w:rPr>
              <w:t>样本数</w:t>
            </w:r>
          </w:p>
        </w:tc>
        <w:tc>
          <w:tcPr>
            <w:tcW w:w="670" w:type="pct"/>
            <w:tcBorders>
              <w:bottom w:val="single" w:color="008000" w:sz="12" w:space="0"/>
            </w:tcBorders>
            <w:noWrap/>
            <w:vAlign w:val="center"/>
          </w:tcPr>
          <w:p w14:paraId="118E41C9">
            <w:pPr>
              <w:widowControl w:val="0"/>
              <w:adjustRightInd w:val="0"/>
              <w:spacing w:after="0" w:line="400" w:lineRule="exact"/>
              <w:jc w:val="center"/>
              <w:rPr>
                <w:rFonts w:ascii="宋体" w:hAnsi="宋体" w:eastAsia="宋体" w:cs="宋体"/>
                <w:color w:val="000000"/>
                <w:kern w:val="2"/>
                <w:sz w:val="18"/>
                <w:szCs w:val="18"/>
              </w:rPr>
            </w:pPr>
            <w:r>
              <w:rPr>
                <w:rFonts w:hint="eastAsia" w:ascii="宋体" w:hAnsi="宋体" w:eastAsia="宋体" w:cs="宋体"/>
                <w:color w:val="000000"/>
                <w:kern w:val="2"/>
                <w:sz w:val="18"/>
                <w:szCs w:val="18"/>
              </w:rPr>
              <w:t>地上</w:t>
            </w:r>
          </w:p>
        </w:tc>
        <w:tc>
          <w:tcPr>
            <w:tcW w:w="518" w:type="pct"/>
            <w:tcBorders>
              <w:bottom w:val="single" w:color="008000" w:sz="12" w:space="0"/>
            </w:tcBorders>
            <w:vAlign w:val="center"/>
          </w:tcPr>
          <w:p w14:paraId="197E64DC">
            <w:pPr>
              <w:widowControl w:val="0"/>
              <w:adjustRightInd w:val="0"/>
              <w:spacing w:after="0" w:line="400" w:lineRule="exact"/>
              <w:jc w:val="center"/>
              <w:rPr>
                <w:rFonts w:hint="eastAsia" w:ascii="宋体" w:hAnsi="宋体" w:eastAsia="宋体" w:cs="Times New Roman"/>
                <w:kern w:val="2"/>
                <w:sz w:val="18"/>
                <w:szCs w:val="18"/>
              </w:rPr>
            </w:pPr>
            <w:r>
              <w:rPr>
                <w:rFonts w:hint="eastAsia" w:ascii="宋体" w:hAnsi="宋体" w:eastAsia="宋体" w:cs="Times New Roman"/>
                <w:kern w:val="2"/>
                <w:sz w:val="18"/>
                <w:szCs w:val="18"/>
              </w:rPr>
              <w:t>地下</w:t>
            </w:r>
          </w:p>
        </w:tc>
        <w:tc>
          <w:tcPr>
            <w:tcW w:w="520" w:type="pct"/>
            <w:tcBorders>
              <w:bottom w:val="single" w:color="008000" w:sz="12" w:space="0"/>
            </w:tcBorders>
            <w:vAlign w:val="center"/>
          </w:tcPr>
          <w:p w14:paraId="20EFFF2D">
            <w:pPr>
              <w:widowControl w:val="0"/>
              <w:adjustRightInd w:val="0"/>
              <w:spacing w:after="0" w:line="400" w:lineRule="exact"/>
              <w:jc w:val="center"/>
              <w:rPr>
                <w:rFonts w:hint="eastAsia" w:ascii="宋体" w:hAnsi="宋体" w:eastAsia="宋体" w:cs="Times New Roman"/>
                <w:kern w:val="2"/>
                <w:sz w:val="18"/>
                <w:szCs w:val="18"/>
              </w:rPr>
            </w:pPr>
            <w:r>
              <w:rPr>
                <w:rFonts w:hint="eastAsia" w:ascii="宋体" w:hAnsi="宋体" w:eastAsia="宋体" w:cs="Times New Roman"/>
                <w:kern w:val="2"/>
                <w:sz w:val="18"/>
                <w:szCs w:val="18"/>
              </w:rPr>
              <w:t>干材</w:t>
            </w:r>
          </w:p>
        </w:tc>
        <w:tc>
          <w:tcPr>
            <w:tcW w:w="520" w:type="pct"/>
            <w:tcBorders>
              <w:bottom w:val="single" w:color="008000" w:sz="12" w:space="0"/>
            </w:tcBorders>
            <w:noWrap/>
            <w:vAlign w:val="center"/>
          </w:tcPr>
          <w:p w14:paraId="321D1E1E">
            <w:pPr>
              <w:widowControl w:val="0"/>
              <w:adjustRightInd w:val="0"/>
              <w:spacing w:after="0" w:line="400" w:lineRule="exact"/>
              <w:jc w:val="center"/>
              <w:rPr>
                <w:rFonts w:ascii="宋体" w:hAnsi="宋体" w:eastAsia="宋体" w:cs="宋体"/>
                <w:color w:val="000000"/>
                <w:kern w:val="2"/>
                <w:sz w:val="18"/>
                <w:szCs w:val="18"/>
              </w:rPr>
            </w:pPr>
            <w:r>
              <w:rPr>
                <w:rFonts w:hint="eastAsia" w:ascii="宋体" w:hAnsi="宋体" w:eastAsia="宋体" w:cs="宋体"/>
                <w:color w:val="000000"/>
                <w:kern w:val="2"/>
                <w:sz w:val="18"/>
                <w:szCs w:val="18"/>
              </w:rPr>
              <w:t>干皮</w:t>
            </w:r>
          </w:p>
        </w:tc>
        <w:tc>
          <w:tcPr>
            <w:tcW w:w="520" w:type="pct"/>
            <w:tcBorders>
              <w:bottom w:val="single" w:color="008000" w:sz="12" w:space="0"/>
            </w:tcBorders>
            <w:vAlign w:val="center"/>
          </w:tcPr>
          <w:p w14:paraId="2219244A">
            <w:pPr>
              <w:widowControl w:val="0"/>
              <w:adjustRightInd w:val="0"/>
              <w:spacing w:after="0" w:line="400" w:lineRule="exact"/>
              <w:jc w:val="center"/>
              <w:rPr>
                <w:rFonts w:hint="eastAsia" w:ascii="宋体" w:hAnsi="宋体" w:eastAsia="宋体" w:cs="Times New Roman"/>
                <w:kern w:val="2"/>
                <w:sz w:val="18"/>
                <w:szCs w:val="18"/>
              </w:rPr>
            </w:pPr>
            <w:r>
              <w:rPr>
                <w:rFonts w:hint="eastAsia" w:ascii="宋体" w:hAnsi="宋体" w:eastAsia="宋体" w:cs="Times New Roman"/>
                <w:kern w:val="2"/>
                <w:sz w:val="18"/>
                <w:szCs w:val="18"/>
              </w:rPr>
              <w:t>树枝</w:t>
            </w:r>
          </w:p>
        </w:tc>
        <w:tc>
          <w:tcPr>
            <w:tcW w:w="520" w:type="pct"/>
            <w:tcBorders>
              <w:bottom w:val="single" w:color="008000" w:sz="12" w:space="0"/>
            </w:tcBorders>
            <w:noWrap/>
            <w:vAlign w:val="center"/>
          </w:tcPr>
          <w:p w14:paraId="3991F7FC">
            <w:pPr>
              <w:widowControl w:val="0"/>
              <w:adjustRightInd w:val="0"/>
              <w:spacing w:after="0" w:line="400" w:lineRule="exact"/>
              <w:jc w:val="center"/>
              <w:rPr>
                <w:rFonts w:ascii="宋体" w:hAnsi="宋体" w:eastAsia="宋体" w:cs="宋体"/>
                <w:color w:val="000000"/>
                <w:kern w:val="2"/>
                <w:sz w:val="18"/>
                <w:szCs w:val="18"/>
              </w:rPr>
            </w:pPr>
            <w:r>
              <w:rPr>
                <w:rFonts w:hint="eastAsia" w:ascii="宋体" w:hAnsi="宋体" w:eastAsia="宋体" w:cs="Times New Roman"/>
                <w:kern w:val="2"/>
                <w:sz w:val="18"/>
                <w:szCs w:val="18"/>
              </w:rPr>
              <w:t>树叶</w:t>
            </w:r>
          </w:p>
        </w:tc>
        <w:tc>
          <w:tcPr>
            <w:tcW w:w="520" w:type="pct"/>
            <w:tcBorders>
              <w:bottom w:val="single" w:color="008000" w:sz="12" w:space="0"/>
            </w:tcBorders>
            <w:noWrap/>
            <w:vAlign w:val="center"/>
          </w:tcPr>
          <w:p w14:paraId="2FE354DE">
            <w:pPr>
              <w:widowControl w:val="0"/>
              <w:adjustRightInd w:val="0"/>
              <w:spacing w:after="0" w:line="400" w:lineRule="exact"/>
              <w:jc w:val="center"/>
              <w:rPr>
                <w:rFonts w:ascii="宋体" w:hAnsi="宋体" w:eastAsia="宋体" w:cs="宋体"/>
                <w:color w:val="000000"/>
                <w:kern w:val="2"/>
                <w:sz w:val="18"/>
                <w:szCs w:val="18"/>
              </w:rPr>
            </w:pPr>
            <w:r>
              <w:rPr>
                <w:rFonts w:hint="eastAsia" w:ascii="宋体" w:hAnsi="宋体" w:eastAsia="宋体" w:cs="Times New Roman"/>
                <w:kern w:val="2"/>
                <w:sz w:val="18"/>
                <w:szCs w:val="18"/>
              </w:rPr>
              <w:t>树根</w:t>
            </w:r>
          </w:p>
        </w:tc>
        <w:tc>
          <w:tcPr>
            <w:tcW w:w="535" w:type="pct"/>
            <w:tcBorders>
              <w:bottom w:val="single" w:color="008000" w:sz="12" w:space="0"/>
            </w:tcBorders>
            <w:noWrap/>
            <w:vAlign w:val="center"/>
          </w:tcPr>
          <w:p w14:paraId="3F3B85B7">
            <w:pPr>
              <w:widowControl w:val="0"/>
              <w:adjustRightInd w:val="0"/>
              <w:spacing w:after="0" w:line="400" w:lineRule="exact"/>
              <w:jc w:val="center"/>
              <w:rPr>
                <w:rFonts w:ascii="宋体" w:hAnsi="宋体" w:eastAsia="宋体" w:cs="宋体"/>
                <w:color w:val="000000"/>
                <w:kern w:val="2"/>
                <w:sz w:val="18"/>
                <w:szCs w:val="18"/>
              </w:rPr>
            </w:pPr>
            <w:r>
              <w:rPr>
                <w:rFonts w:hint="eastAsia" w:ascii="宋体" w:hAnsi="宋体" w:eastAsia="宋体" w:cs="Times New Roman"/>
                <w:kern w:val="2"/>
                <w:sz w:val="18"/>
                <w:szCs w:val="18"/>
              </w:rPr>
              <w:t>总体</w:t>
            </w:r>
          </w:p>
        </w:tc>
      </w:tr>
      <w:tr w14:paraId="4DA58CBD">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73" w:type="pct"/>
            <w:vAlign w:val="center"/>
          </w:tcPr>
          <w:p w14:paraId="45419401">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37</w:t>
            </w:r>
          </w:p>
        </w:tc>
        <w:tc>
          <w:tcPr>
            <w:tcW w:w="670" w:type="pct"/>
            <w:noWrap/>
            <w:vAlign w:val="center"/>
          </w:tcPr>
          <w:p w14:paraId="7FD7C22D">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51.02</w:t>
            </w:r>
          </w:p>
        </w:tc>
        <w:tc>
          <w:tcPr>
            <w:tcW w:w="518" w:type="pct"/>
            <w:vAlign w:val="center"/>
          </w:tcPr>
          <w:p w14:paraId="1341340F">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50.83</w:t>
            </w:r>
          </w:p>
        </w:tc>
        <w:tc>
          <w:tcPr>
            <w:tcW w:w="520" w:type="pct"/>
            <w:vAlign w:val="center"/>
          </w:tcPr>
          <w:p w14:paraId="4776D2BB">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51.20</w:t>
            </w:r>
          </w:p>
        </w:tc>
        <w:tc>
          <w:tcPr>
            <w:tcW w:w="520" w:type="pct"/>
            <w:noWrap/>
            <w:vAlign w:val="center"/>
          </w:tcPr>
          <w:p w14:paraId="347F1B03">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53.65</w:t>
            </w:r>
          </w:p>
        </w:tc>
        <w:tc>
          <w:tcPr>
            <w:tcW w:w="520" w:type="pct"/>
            <w:vAlign w:val="center"/>
          </w:tcPr>
          <w:p w14:paraId="0B3C1C15">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51.17</w:t>
            </w:r>
          </w:p>
        </w:tc>
        <w:tc>
          <w:tcPr>
            <w:tcW w:w="520" w:type="pct"/>
            <w:noWrap/>
            <w:vAlign w:val="center"/>
          </w:tcPr>
          <w:p w14:paraId="1C0E0AE0">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50.62</w:t>
            </w:r>
          </w:p>
        </w:tc>
        <w:tc>
          <w:tcPr>
            <w:tcW w:w="520" w:type="pct"/>
            <w:noWrap/>
            <w:vAlign w:val="center"/>
          </w:tcPr>
          <w:p w14:paraId="61C40485">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50.83</w:t>
            </w:r>
          </w:p>
        </w:tc>
        <w:tc>
          <w:tcPr>
            <w:tcW w:w="535" w:type="pct"/>
            <w:noWrap/>
            <w:vAlign w:val="center"/>
          </w:tcPr>
          <w:p w14:paraId="37EE57A8">
            <w:pPr>
              <w:widowControl w:val="0"/>
              <w:adjustRightInd w:val="0"/>
              <w:spacing w:after="0" w:line="400" w:lineRule="exact"/>
              <w:jc w:val="both"/>
              <w:rPr>
                <w:rFonts w:ascii="宋体" w:hAnsi="宋体" w:eastAsia="宋体" w:cs="Times New Roman"/>
                <w:kern w:val="2"/>
                <w:sz w:val="18"/>
                <w:szCs w:val="18"/>
              </w:rPr>
            </w:pPr>
            <w:r>
              <w:rPr>
                <w:rFonts w:ascii="宋体" w:hAnsi="宋体" w:eastAsia="宋体" w:cs="Times New Roman"/>
                <w:kern w:val="2"/>
                <w:sz w:val="18"/>
                <w:szCs w:val="18"/>
              </w:rPr>
              <w:t>50.95</w:t>
            </w:r>
          </w:p>
        </w:tc>
      </w:tr>
    </w:tbl>
    <w:p w14:paraId="6F993E84">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测定结果表明，樟子松各器官含碳系数存在一定差异，其中树叶含碳系数最高（50.</w:t>
      </w:r>
      <w:r>
        <w:rPr>
          <w:rFonts w:hint="eastAsia" w:ascii="仿宋" w:hAnsi="仿宋" w:eastAsia="仿宋" w:cs="仿宋"/>
          <w:sz w:val="32"/>
          <w:szCs w:val="32"/>
          <w:lang w:val="en-US" w:eastAsia="zh-CN"/>
        </w:rPr>
        <w:t>62</w:t>
      </w:r>
      <w:r>
        <w:rPr>
          <w:rFonts w:hint="eastAsia" w:ascii="仿宋" w:hAnsi="仿宋" w:eastAsia="仿宋" w:cs="仿宋"/>
          <w:sz w:val="32"/>
          <w:szCs w:val="32"/>
        </w:rPr>
        <w:t>%），干材含碳系数最低（</w:t>
      </w:r>
      <w:r>
        <w:rPr>
          <w:rFonts w:hint="eastAsia" w:ascii="仿宋" w:hAnsi="仿宋" w:eastAsia="仿宋" w:cs="仿宋"/>
          <w:sz w:val="32"/>
          <w:szCs w:val="32"/>
          <w:lang w:val="en-US" w:eastAsia="zh-CN"/>
        </w:rPr>
        <w:t>51.20</w:t>
      </w:r>
      <w:r>
        <w:rPr>
          <w:rFonts w:hint="eastAsia" w:ascii="仿宋" w:hAnsi="仿宋" w:eastAsia="仿宋" w:cs="仿宋"/>
          <w:sz w:val="32"/>
          <w:szCs w:val="32"/>
        </w:rPr>
        <w:t>%），总体平均含碳系数为</w:t>
      </w:r>
      <w:r>
        <w:rPr>
          <w:rFonts w:hint="eastAsia" w:ascii="仿宋" w:hAnsi="仿宋" w:eastAsia="仿宋" w:cs="仿宋"/>
          <w:sz w:val="32"/>
          <w:szCs w:val="32"/>
          <w:lang w:val="en-US" w:eastAsia="zh-CN"/>
        </w:rPr>
        <w:t>50.95</w:t>
      </w:r>
      <w:r>
        <w:rPr>
          <w:rFonts w:hint="eastAsia" w:ascii="仿宋" w:hAnsi="仿宋" w:eastAsia="仿宋" w:cs="仿宋"/>
          <w:sz w:val="32"/>
          <w:szCs w:val="32"/>
        </w:rPr>
        <w:t>%。与传统采用的经验系数0.45或0.5相比，本测定结果反映了樟子松各部位间的含碳系数差异，可为樟子松碳储量估算提供更准确的参数依据。</w:t>
      </w:r>
    </w:p>
    <w:p w14:paraId="79265FDF">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left"/>
        <w:textAlignment w:val="auto"/>
        <w:rPr>
          <w:rFonts w:hint="eastAsia" w:ascii="仿宋" w:hAnsi="仿宋" w:eastAsia="仿宋" w:cs="仿宋"/>
          <w:sz w:val="32"/>
          <w:szCs w:val="32"/>
        </w:rPr>
      </w:pPr>
      <w:r>
        <w:rPr>
          <w:rFonts w:hint="eastAsia" w:ascii="仿宋" w:hAnsi="仿宋" w:eastAsia="仿宋" w:cs="仿宋"/>
          <w:sz w:val="32"/>
          <w:szCs w:val="32"/>
        </w:rPr>
        <w:t>5. 模型评价</w:t>
      </w:r>
    </w:p>
    <w:p w14:paraId="5CE6DDEB">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模型评价采用调整后确定系数（Ra²）、平均预估误差（MPE）、平均绝对误差（MAE）和预测精度（P%）等指标，具体计算公式见标准文本第3章。各模型评价结果见表7—表9（见前文）。地上生物量模型精度为</w:t>
      </w:r>
      <w:r>
        <w:rPr>
          <w:rFonts w:hint="eastAsia" w:ascii="仿宋" w:hAnsi="仿宋" w:eastAsia="仿宋" w:cs="仿宋"/>
          <w:sz w:val="32"/>
          <w:szCs w:val="32"/>
          <w:lang w:val="en-US" w:eastAsia="zh-CN"/>
        </w:rPr>
        <w:t>92.3</w:t>
      </w:r>
      <w:r>
        <w:rPr>
          <w:rFonts w:hint="eastAsia" w:ascii="仿宋" w:hAnsi="仿宋" w:eastAsia="仿宋" w:cs="仿宋"/>
          <w:sz w:val="32"/>
          <w:szCs w:val="32"/>
        </w:rPr>
        <w:t>%，地下生物量模型精度为</w:t>
      </w:r>
      <w:r>
        <w:rPr>
          <w:rFonts w:hint="eastAsia" w:ascii="仿宋" w:hAnsi="仿宋" w:eastAsia="仿宋" w:cs="仿宋"/>
          <w:sz w:val="32"/>
          <w:szCs w:val="32"/>
          <w:lang w:val="en-US" w:eastAsia="zh-CN"/>
        </w:rPr>
        <w:t>90.8</w:t>
      </w:r>
      <w:r>
        <w:rPr>
          <w:rFonts w:hint="eastAsia" w:ascii="仿宋" w:hAnsi="仿宋" w:eastAsia="仿宋" w:cs="仿宋"/>
          <w:sz w:val="32"/>
          <w:szCs w:val="32"/>
        </w:rPr>
        <w:t>%，相容性生物量模型精度为</w:t>
      </w:r>
      <w:r>
        <w:rPr>
          <w:rFonts w:hint="eastAsia" w:ascii="仿宋" w:hAnsi="仿宋" w:eastAsia="仿宋" w:cs="仿宋"/>
          <w:sz w:val="32"/>
          <w:szCs w:val="32"/>
          <w:lang w:val="en-US" w:eastAsia="zh-CN"/>
        </w:rPr>
        <w:t>91.5</w:t>
      </w:r>
      <w:r>
        <w:rPr>
          <w:rFonts w:hint="eastAsia" w:ascii="仿宋" w:hAnsi="仿宋" w:eastAsia="仿宋" w:cs="仿宋"/>
          <w:sz w:val="32"/>
          <w:szCs w:val="32"/>
        </w:rPr>
        <w:t>%，MPE均小于10%，模型精度满足森林碳汇计量要求（一般要求精度≥85%）。</w:t>
      </w:r>
    </w:p>
    <w:p w14:paraId="2616A082">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left"/>
        <w:textAlignment w:val="auto"/>
        <w:rPr>
          <w:rFonts w:hint="eastAsia" w:ascii="楷体" w:hAnsi="楷体" w:eastAsia="楷体" w:cs="楷体"/>
          <w:sz w:val="32"/>
          <w:szCs w:val="32"/>
        </w:rPr>
      </w:pPr>
      <w:r>
        <w:rPr>
          <w:rFonts w:hint="eastAsia" w:ascii="楷体" w:hAnsi="楷体" w:eastAsia="楷体" w:cs="楷体"/>
          <w:sz w:val="32"/>
          <w:szCs w:val="32"/>
        </w:rPr>
        <w:t>（二）本标准的应用与验证</w:t>
      </w:r>
    </w:p>
    <w:p w14:paraId="18B43161">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本标准适用于黑龙江省行政区域内樟子松天然林立木及林分碳储量的估算（与标准文本第1章“范围”一致）。应用时，使用者应根据调查区域樟子松天然林类型，选取本标准第4章给出的相应生物量模型（二元模型或相容性模型），结合外业调查的胸径（D）、树高（H）及含碳系数（表7）等参数，完成从单株到林分尺度的碳储量计算。</w:t>
      </w:r>
    </w:p>
    <w:p w14:paraId="487383C0">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验证时采用独立样地对比法，选取未参与建模的典型樟子松样地（不少于30块），将模型估算结果与实测生物量进行对比，计算总相对误差（TRE）和平均预估误差（MPE）。当模型决定系数R²大于0.85、|TRE|小于5%、MPE小于10%时，判定模型精度满足应用要求。本标准模型经独立样本验证，各项指标均符合上述标准。</w:t>
      </w:r>
    </w:p>
    <w:p w14:paraId="03693E83">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left"/>
        <w:textAlignment w:val="auto"/>
        <w:rPr>
          <w:rFonts w:hint="eastAsia" w:ascii="楷体" w:hAnsi="楷体" w:eastAsia="楷体" w:cs="楷体"/>
          <w:sz w:val="32"/>
          <w:szCs w:val="32"/>
        </w:rPr>
      </w:pPr>
      <w:r>
        <w:rPr>
          <w:rFonts w:hint="eastAsia" w:ascii="楷体" w:hAnsi="楷体" w:eastAsia="楷体" w:cs="楷体"/>
          <w:sz w:val="32"/>
          <w:szCs w:val="32"/>
        </w:rPr>
        <w:t>（三）预期经济效果</w:t>
      </w:r>
    </w:p>
    <w:p w14:paraId="6E753FA1">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本标准的实施将产生以下预期经济效果：</w:t>
      </w:r>
    </w:p>
    <w:p w14:paraId="45771B15">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一是降低碳汇计量成本。给出可直接应用的生物量模型和含碳系数，基层技术人员无需重复建模和实验测定，大幅减少外业调查和实验分析工作量。</w:t>
      </w:r>
    </w:p>
    <w:p w14:paraId="1B749AC7">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二是挖掘樟子松天然林资源碳汇潜力。黑龙江省樟子松天然林资源丰富，是大兴安岭林区的重要森林类型，本标准的实施有助于准确掌握樟子松天然林碳储量现状，为碳汇项目开发提供技术依据。</w:t>
      </w:r>
    </w:p>
    <w:p w14:paraId="75786460">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三是支撑绿碳交易发展。提供樟子松天然林碳储量的高精度估算方法，使樟子松林碳汇能够纳入“龙江绿碳”交易体系，实现生态资源价值转化，促进黑龙江省林业碳汇经济发展。</w:t>
      </w:r>
    </w:p>
    <w:p w14:paraId="05FA519B">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left"/>
        <w:textAlignment w:val="auto"/>
        <w:rPr>
          <w:rFonts w:hint="eastAsia" w:ascii="黑体" w:hAnsi="黑体" w:eastAsia="黑体" w:cs="黑体"/>
          <w:sz w:val="32"/>
          <w:szCs w:val="32"/>
        </w:rPr>
      </w:pPr>
      <w:r>
        <w:rPr>
          <w:rFonts w:hint="eastAsia" w:ascii="黑体" w:hAnsi="黑体" w:eastAsia="黑体" w:cs="黑体"/>
          <w:sz w:val="32"/>
          <w:szCs w:val="32"/>
        </w:rPr>
        <w:t>五、与现行法律、法规和政策及相关标准的关系</w:t>
      </w:r>
    </w:p>
    <w:p w14:paraId="17E9DBC7">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本标准编制依据现行法律、法规和国家强制性标准，与这些文件中的规定不存在矛盾。</w:t>
      </w:r>
    </w:p>
    <w:p w14:paraId="294194E6">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本标准与GB/T 43648—2024《主要树种立木生物量模型与碳计量参数》、LY/T 2259—2014《立木生物量建模样本采集技术规程》等国家标准和行业标准相协调，是在上述标准框架下针对黑龙江省樟子松天然林区域特点的细化和补充。</w:t>
      </w:r>
    </w:p>
    <w:p w14:paraId="1E2542CD">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left"/>
        <w:textAlignment w:val="auto"/>
        <w:rPr>
          <w:rFonts w:hint="eastAsia" w:ascii="黑体" w:hAnsi="黑体" w:eastAsia="黑体" w:cs="黑体"/>
          <w:sz w:val="32"/>
          <w:szCs w:val="32"/>
        </w:rPr>
      </w:pPr>
      <w:r>
        <w:rPr>
          <w:rFonts w:hint="eastAsia" w:ascii="黑体" w:hAnsi="黑体" w:eastAsia="黑体" w:cs="黑体"/>
          <w:sz w:val="32"/>
          <w:szCs w:val="32"/>
        </w:rPr>
        <w:t>六、采用国际标准和国外先进标准的程度</w:t>
      </w:r>
    </w:p>
    <w:p w14:paraId="72D83D15">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本文件未采用国际标准或国外先进标准，为自主制定。经检索，目前国内已有GB/T 43648—2024国家标准适用于全国范围的樟子松生物量与碳储量计量。黑龙江省现行森林碳汇相关标准均未针对本省樟子松天然林碳储量估算制定专门的技术指南。</w:t>
      </w:r>
    </w:p>
    <w:p w14:paraId="3542E7AB">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本文件基于黑龙江省行政区域内三个次级林区的实测数据，构建了樟子松天然林的生物量模型，给出了模型参数值和含碳系数，在樟子松天然林碳储量估算的地域针对性、参数精细化方面填补了黑龙江省空白，技术水平属省内领先。</w:t>
      </w:r>
    </w:p>
    <w:p w14:paraId="794083CD">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left"/>
        <w:textAlignment w:val="auto"/>
        <w:rPr>
          <w:rFonts w:hint="eastAsia" w:ascii="黑体" w:hAnsi="黑体" w:eastAsia="黑体" w:cs="黑体"/>
          <w:sz w:val="32"/>
          <w:szCs w:val="32"/>
        </w:rPr>
      </w:pPr>
      <w:r>
        <w:rPr>
          <w:rFonts w:hint="eastAsia" w:ascii="黑体" w:hAnsi="黑体" w:eastAsia="黑体" w:cs="黑体"/>
          <w:sz w:val="32"/>
          <w:szCs w:val="32"/>
        </w:rPr>
        <w:t>七、重大意见分歧的处理经过和依据</w:t>
      </w:r>
    </w:p>
    <w:p w14:paraId="5D7B9021">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本规范征集了相关专家意见，反馈的意见与制订内容无重大分歧。</w:t>
      </w:r>
    </w:p>
    <w:p w14:paraId="473EAA1F">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left"/>
        <w:textAlignment w:val="auto"/>
        <w:rPr>
          <w:rFonts w:hint="eastAsia" w:ascii="黑体" w:hAnsi="黑体" w:eastAsia="黑体" w:cs="黑体"/>
          <w:sz w:val="32"/>
          <w:szCs w:val="32"/>
        </w:rPr>
      </w:pPr>
      <w:r>
        <w:rPr>
          <w:rFonts w:hint="eastAsia" w:ascii="黑体" w:hAnsi="黑体" w:eastAsia="黑体" w:cs="黑体"/>
          <w:sz w:val="32"/>
          <w:szCs w:val="32"/>
        </w:rPr>
        <w:t>八、贯彻标准的要求和措施建议</w:t>
      </w:r>
    </w:p>
    <w:p w14:paraId="64A471EB">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樟子松天然林碳储量估算技术指南》颁布实施后，各级林草行政主管部门应加大标准的宣传培训力度，组织基层林业技术人员、林场管理人员及林业经营主体系统掌握技术方法，使生产者能够根据本标准开展樟子松天然林碳汇计量监测、碳汇项目开发及碳交易活动，是黑龙江省实现樟子松天然林碳汇科学计量、挖掘林业资源潜在经济价值的重要依据。</w:t>
      </w:r>
    </w:p>
    <w:p w14:paraId="01DD0282">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left"/>
        <w:textAlignment w:val="auto"/>
        <w:rPr>
          <w:rFonts w:hint="eastAsia" w:ascii="黑体" w:hAnsi="黑体" w:eastAsia="黑体" w:cs="黑体"/>
          <w:sz w:val="32"/>
          <w:szCs w:val="32"/>
        </w:rPr>
      </w:pPr>
      <w:r>
        <w:rPr>
          <w:rFonts w:hint="eastAsia" w:ascii="黑体" w:hAnsi="黑体" w:eastAsia="黑体" w:cs="黑体"/>
          <w:sz w:val="32"/>
          <w:szCs w:val="32"/>
        </w:rPr>
        <w:t>九、废止现行有关标准的建议</w:t>
      </w:r>
    </w:p>
    <w:p w14:paraId="194F99CB">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无。</w:t>
      </w:r>
    </w:p>
    <w:p w14:paraId="2F9F01C7">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jc w:val="left"/>
        <w:textAlignment w:val="auto"/>
        <w:rPr>
          <w:rFonts w:hint="eastAsia" w:ascii="黑体" w:hAnsi="黑体" w:eastAsia="黑体" w:cs="黑体"/>
          <w:sz w:val="32"/>
          <w:szCs w:val="32"/>
        </w:rPr>
      </w:pPr>
      <w:r>
        <w:rPr>
          <w:rFonts w:hint="eastAsia" w:ascii="黑体" w:hAnsi="黑体" w:eastAsia="黑体" w:cs="黑体"/>
          <w:sz w:val="32"/>
          <w:szCs w:val="32"/>
        </w:rPr>
        <w:t>十、其他应予说明的重要事项</w:t>
      </w:r>
    </w:p>
    <w:p w14:paraId="10BE86DD">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78"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无。</w:t>
      </w:r>
      <w:bookmarkEnd w:id="0"/>
      <w:bookmarkEnd w:id="18"/>
    </w:p>
    <w:sectPr>
      <w:footnotePr>
        <w:numRestart w:val="eachSect"/>
      </w:footnote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egoe UI"/>
    <w:panose1 w:val="020B0004020202020204"/>
    <w:charset w:val="00"/>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Aptos Display">
    <w:altName w:val="Segoe UI"/>
    <w:panose1 w:val="020B0004020202020204"/>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auto"/>
    <w:pitch w:val="default"/>
    <w:sig w:usb0="E00006FF" w:usb1="0000FCFF" w:usb2="00000001" w:usb3="00000000" w:csb0="6000019F" w:csb1="DFD70000"/>
  </w:font>
  <w:font w:name="方正小标宋简体">
    <w:altName w:val="方正舒体"/>
    <w:panose1 w:val="02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B27AA0"/>
    <w:multiLevelType w:val="singleLevel"/>
    <w:tmpl w:val="B6B27AA0"/>
    <w:lvl w:ilvl="0" w:tentative="0">
      <w:start w:val="1"/>
      <w:numFmt w:val="chineseCounting"/>
      <w:suff w:val="nothing"/>
      <w:lvlText w:val="（%1）"/>
      <w:lvlJc w:val="left"/>
      <w:rPr>
        <w:rFonts w:hint="eastAsia"/>
      </w:rPr>
    </w:lvl>
  </w:abstractNum>
  <w:abstractNum w:abstractNumId="1">
    <w:nsid w:val="E1F9EDD2"/>
    <w:multiLevelType w:val="singleLevel"/>
    <w:tmpl w:val="E1F9EDD2"/>
    <w:lvl w:ilvl="0" w:tentative="0">
      <w:start w:val="1"/>
      <w:numFmt w:val="chineseCounting"/>
      <w:suff w:val="nothing"/>
      <w:lvlText w:val="%1、"/>
      <w:lvlJc w:val="left"/>
      <w:rPr>
        <w:rFonts w:hint="eastAsia"/>
      </w:rPr>
    </w:lvl>
  </w:abstractNum>
  <w:abstractNum w:abstractNumId="2">
    <w:nsid w:val="E9E3AA5F"/>
    <w:multiLevelType w:val="singleLevel"/>
    <w:tmpl w:val="E9E3AA5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720"/>
  <w:drawingGridHorizontalSpacing w:val="360"/>
  <w:drawingGridVerticalSpacing w:val="36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E7C1C"/>
    <w:rsid w:val="003675EE"/>
    <w:rsid w:val="012D2623"/>
    <w:rsid w:val="018C519F"/>
    <w:rsid w:val="06EF2139"/>
    <w:rsid w:val="07A33243"/>
    <w:rsid w:val="0922463B"/>
    <w:rsid w:val="0AF344E1"/>
    <w:rsid w:val="13857CA0"/>
    <w:rsid w:val="161767F2"/>
    <w:rsid w:val="16C65DDF"/>
    <w:rsid w:val="1C275D99"/>
    <w:rsid w:val="217D46AD"/>
    <w:rsid w:val="21DE7473"/>
    <w:rsid w:val="257E79C7"/>
    <w:rsid w:val="26E6382E"/>
    <w:rsid w:val="28E52D63"/>
    <w:rsid w:val="2B807273"/>
    <w:rsid w:val="2BB62C95"/>
    <w:rsid w:val="2CA60F5C"/>
    <w:rsid w:val="2CCF780F"/>
    <w:rsid w:val="2F723377"/>
    <w:rsid w:val="301D7787"/>
    <w:rsid w:val="318A49A8"/>
    <w:rsid w:val="32780CA4"/>
    <w:rsid w:val="366672B0"/>
    <w:rsid w:val="3727713D"/>
    <w:rsid w:val="3751134B"/>
    <w:rsid w:val="378400EB"/>
    <w:rsid w:val="380134EA"/>
    <w:rsid w:val="3C2974B3"/>
    <w:rsid w:val="3CDC4526"/>
    <w:rsid w:val="3E2B7513"/>
    <w:rsid w:val="3EFC2C5D"/>
    <w:rsid w:val="411435DA"/>
    <w:rsid w:val="45C5024D"/>
    <w:rsid w:val="45D97854"/>
    <w:rsid w:val="470B6133"/>
    <w:rsid w:val="52320A18"/>
    <w:rsid w:val="52E55A8A"/>
    <w:rsid w:val="52EA30A1"/>
    <w:rsid w:val="536410A5"/>
    <w:rsid w:val="53EC2F11"/>
    <w:rsid w:val="564D4072"/>
    <w:rsid w:val="567F7FA4"/>
    <w:rsid w:val="58262F56"/>
    <w:rsid w:val="583D1EC5"/>
    <w:rsid w:val="58E5339D"/>
    <w:rsid w:val="5B5D3D3A"/>
    <w:rsid w:val="5C797243"/>
    <w:rsid w:val="5DD01DBF"/>
    <w:rsid w:val="60161979"/>
    <w:rsid w:val="61696748"/>
    <w:rsid w:val="639C0E40"/>
    <w:rsid w:val="65590A67"/>
    <w:rsid w:val="68B41D2F"/>
    <w:rsid w:val="692E7D33"/>
    <w:rsid w:val="698F0EEB"/>
    <w:rsid w:val="69B144C0"/>
    <w:rsid w:val="6A647785"/>
    <w:rsid w:val="6AA47B81"/>
    <w:rsid w:val="6D042B59"/>
    <w:rsid w:val="7080699B"/>
    <w:rsid w:val="71922E29"/>
    <w:rsid w:val="76CA6BC2"/>
    <w:rsid w:val="78C53AE4"/>
    <w:rsid w:val="79872B48"/>
    <w:rsid w:val="79EB376F"/>
    <w:rsid w:val="7C99506C"/>
    <w:rsid w:val="7CA57EB5"/>
    <w:rsid w:val="7FD308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EastAsia" w:cstheme="minorBidi"/>
      <w:sz w:val="24"/>
      <w:szCs w:val="24"/>
      <w:lang w:val="en-US" w:eastAsia="zh-CN" w:bidi="ar-SA"/>
    </w:rPr>
  </w:style>
  <w:style w:type="paragraph" w:styleId="2">
    <w:name w:val="heading 1"/>
    <w:basedOn w:val="1"/>
    <w:next w:val="3"/>
    <w:link w:val="34"/>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4">
    <w:name w:val="heading 2"/>
    <w:basedOn w:val="1"/>
    <w:next w:val="3"/>
    <w:link w:val="35"/>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5">
    <w:name w:val="heading 3"/>
    <w:basedOn w:val="1"/>
    <w:next w:val="3"/>
    <w:link w:val="36"/>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6">
    <w:name w:val="heading 4"/>
    <w:basedOn w:val="1"/>
    <w:next w:val="3"/>
    <w:link w:val="37"/>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7">
    <w:name w:val="heading 5"/>
    <w:basedOn w:val="1"/>
    <w:next w:val="3"/>
    <w:link w:val="38"/>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8">
    <w:name w:val="heading 6"/>
    <w:basedOn w:val="1"/>
    <w:next w:val="3"/>
    <w:link w:val="39"/>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9">
    <w:name w:val="heading 7"/>
    <w:basedOn w:val="1"/>
    <w:next w:val="3"/>
    <w:link w:val="40"/>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10">
    <w:name w:val="heading 8"/>
    <w:basedOn w:val="1"/>
    <w:next w:val="3"/>
    <w:link w:val="41"/>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1">
    <w:name w:val="heading 9"/>
    <w:basedOn w:val="1"/>
    <w:next w:val="3"/>
    <w:link w:val="42"/>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20">
    <w:name w:val="Default Paragraph Font"/>
    <w:semiHidden/>
    <w:unhideWhenUsed/>
    <w:qFormat/>
    <w:uiPriority w:val="0"/>
  </w:style>
  <w:style w:type="table" w:default="1" w:styleId="19">
    <w:name w:val="Normal Table"/>
    <w:qFormat/>
    <w:uiPriority w:val="0"/>
    <w:tblPr>
      <w:tblCellMar>
        <w:top w:w="0" w:type="dxa"/>
        <w:left w:w="108" w:type="dxa"/>
        <w:bottom w:w="0" w:type="dxa"/>
        <w:right w:w="108" w:type="dxa"/>
      </w:tblCellMar>
    </w:tblPr>
  </w:style>
  <w:style w:type="paragraph" w:styleId="3">
    <w:name w:val="Body Text"/>
    <w:basedOn w:val="1"/>
    <w:link w:val="24"/>
    <w:qFormat/>
    <w:uiPriority w:val="0"/>
    <w:pPr>
      <w:spacing w:before="180" w:after="180"/>
    </w:pPr>
  </w:style>
  <w:style w:type="paragraph" w:styleId="12">
    <w:name w:val="caption"/>
    <w:basedOn w:val="1"/>
    <w:qFormat/>
    <w:uiPriority w:val="0"/>
    <w:pPr>
      <w:spacing w:before="0" w:after="120"/>
    </w:pPr>
    <w:rPr>
      <w:i/>
    </w:rPr>
  </w:style>
  <w:style w:type="paragraph" w:styleId="13">
    <w:name w:val="Block Text"/>
    <w:basedOn w:val="3"/>
    <w:next w:val="3"/>
    <w:unhideWhenUsed/>
    <w:qFormat/>
    <w:uiPriority w:val="9"/>
    <w:pPr>
      <w:spacing w:before="100" w:after="100"/>
      <w:ind w:left="480" w:right="480" w:firstLine="0"/>
    </w:pPr>
  </w:style>
  <w:style w:type="paragraph" w:styleId="14">
    <w:name w:val="Date"/>
    <w:basedOn w:val="15"/>
    <w:next w:val="3"/>
    <w:qFormat/>
    <w:uiPriority w:val="0"/>
    <w:pPr>
      <w:keepNext/>
      <w:keepLines/>
    </w:pPr>
    <w:rPr>
      <w:sz w:val="24"/>
      <w:szCs w:val="24"/>
    </w:rPr>
  </w:style>
  <w:style w:type="paragraph" w:styleId="15">
    <w:name w:val="Title"/>
    <w:basedOn w:val="1"/>
    <w:next w:val="3"/>
    <w:link w:val="28"/>
    <w:qFormat/>
    <w:uiPriority w:val="10"/>
    <w:pPr>
      <w:spacing w:after="80" w:line="240" w:lineRule="auto"/>
      <w:contextualSpacing/>
      <w:jc w:val="center"/>
    </w:pPr>
    <w:rPr>
      <w:rFonts w:asciiTheme="majorHAnsi" w:hAnsiTheme="majorHAnsi" w:eastAsiaTheme="majorEastAsia" w:cstheme="majorBidi"/>
      <w:sz w:val="56"/>
      <w:szCs w:val="56"/>
    </w:rPr>
  </w:style>
  <w:style w:type="paragraph" w:styleId="16">
    <w:name w:val="Subtitle"/>
    <w:basedOn w:val="15"/>
    <w:next w:val="3"/>
    <w:link w:val="29"/>
    <w:qFormat/>
    <w:uiPriority w:val="11"/>
    <w:rPr>
      <w:rFonts w:eastAsiaTheme="majorEastAsia" w:cstheme="majorBidi"/>
      <w:spacing w:val="15"/>
      <w:sz w:val="28"/>
      <w:szCs w:val="28"/>
    </w:rPr>
  </w:style>
  <w:style w:type="paragraph" w:styleId="17">
    <w:name w:val="footnote text"/>
    <w:basedOn w:val="1"/>
    <w:unhideWhenUsed/>
    <w:qFormat/>
    <w:uiPriority w:val="9"/>
  </w:style>
  <w:style w:type="paragraph" w:styleId="18">
    <w:name w:val="Normal (Web)"/>
    <w:basedOn w:val="1"/>
    <w:qFormat/>
    <w:uiPriority w:val="0"/>
    <w:rPr>
      <w:sz w:val="24"/>
    </w:rPr>
  </w:style>
  <w:style w:type="character" w:styleId="21">
    <w:name w:val="Strong"/>
    <w:basedOn w:val="20"/>
    <w:uiPriority w:val="0"/>
    <w:rPr>
      <w:b/>
    </w:rPr>
  </w:style>
  <w:style w:type="character" w:styleId="22">
    <w:name w:val="Emphasis"/>
    <w:basedOn w:val="20"/>
    <w:qFormat/>
    <w:uiPriority w:val="0"/>
    <w:rPr>
      <w:i/>
    </w:rPr>
  </w:style>
  <w:style w:type="character" w:styleId="23">
    <w:name w:val="Hyperlink"/>
    <w:basedOn w:val="24"/>
    <w:qFormat/>
    <w:uiPriority w:val="0"/>
    <w:rPr>
      <w:color w:val="156082" w:themeColor="accent1"/>
      <w14:textFill>
        <w14:solidFill>
          <w14:schemeClr w14:val="accent1"/>
        </w14:solidFill>
      </w14:textFill>
    </w:rPr>
  </w:style>
  <w:style w:type="character" w:customStyle="1" w:styleId="24">
    <w:name w:val="Body Text Char"/>
    <w:basedOn w:val="20"/>
    <w:link w:val="3"/>
    <w:qFormat/>
    <w:uiPriority w:val="0"/>
  </w:style>
  <w:style w:type="character" w:styleId="25">
    <w:name w:val="footnote reference"/>
    <w:basedOn w:val="24"/>
    <w:qFormat/>
    <w:uiPriority w:val="0"/>
    <w:rPr>
      <w:vertAlign w:val="superscript"/>
    </w:rPr>
  </w:style>
  <w:style w:type="paragraph" w:customStyle="1" w:styleId="26">
    <w:name w:val="First Paragraph"/>
    <w:basedOn w:val="3"/>
    <w:next w:val="3"/>
    <w:qFormat/>
    <w:uiPriority w:val="0"/>
  </w:style>
  <w:style w:type="paragraph" w:customStyle="1" w:styleId="27">
    <w:name w:val="Compact"/>
    <w:basedOn w:val="3"/>
    <w:qFormat/>
    <w:uiPriority w:val="0"/>
    <w:pPr>
      <w:spacing w:before="36" w:after="36"/>
    </w:pPr>
  </w:style>
  <w:style w:type="character" w:customStyle="1" w:styleId="28">
    <w:name w:val="Title Char"/>
    <w:basedOn w:val="20"/>
    <w:link w:val="15"/>
    <w:qFormat/>
    <w:uiPriority w:val="10"/>
    <w:rPr>
      <w:rFonts w:asciiTheme="majorHAnsi" w:hAnsiTheme="majorHAnsi" w:eastAsiaTheme="majorEastAsia" w:cstheme="majorBidi"/>
      <w:sz w:val="56"/>
      <w:szCs w:val="56"/>
    </w:rPr>
  </w:style>
  <w:style w:type="character" w:customStyle="1" w:styleId="29">
    <w:name w:val="Subtitle Char"/>
    <w:basedOn w:val="20"/>
    <w:link w:val="16"/>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customStyle="1" w:styleId="30">
    <w:name w:val="Author"/>
    <w:basedOn w:val="15"/>
    <w:next w:val="3"/>
    <w:qFormat/>
    <w:uiPriority w:val="0"/>
    <w:pPr>
      <w:keepNext/>
      <w:keepLines/>
    </w:pPr>
    <w:rPr>
      <w:sz w:val="24"/>
      <w:szCs w:val="24"/>
    </w:rPr>
  </w:style>
  <w:style w:type="paragraph" w:customStyle="1" w:styleId="31">
    <w:name w:val="Abstract Title"/>
    <w:basedOn w:val="1"/>
    <w:next w:val="32"/>
    <w:qFormat/>
    <w:uiPriority w:val="0"/>
    <w:pPr>
      <w:keepNext/>
      <w:keepLines/>
      <w:spacing w:before="300" w:after="0"/>
      <w:jc w:val="center"/>
    </w:pPr>
    <w:rPr>
      <w:b/>
      <w:sz w:val="20"/>
      <w:szCs w:val="20"/>
    </w:rPr>
  </w:style>
  <w:style w:type="paragraph" w:customStyle="1" w:styleId="32">
    <w:name w:val="Abstract"/>
    <w:basedOn w:val="1"/>
    <w:next w:val="3"/>
    <w:qFormat/>
    <w:uiPriority w:val="0"/>
    <w:pPr>
      <w:keepNext/>
      <w:keepLines/>
      <w:spacing w:before="100" w:after="300"/>
    </w:pPr>
    <w:rPr>
      <w:sz w:val="20"/>
      <w:szCs w:val="20"/>
    </w:rPr>
  </w:style>
  <w:style w:type="paragraph" w:customStyle="1" w:styleId="33">
    <w:name w:val="Bibliography"/>
    <w:basedOn w:val="1"/>
    <w:qFormat/>
    <w:uiPriority w:val="0"/>
  </w:style>
  <w:style w:type="character" w:customStyle="1" w:styleId="34">
    <w:name w:val="Heading 1 Char"/>
    <w:basedOn w:val="20"/>
    <w:link w:val="2"/>
    <w:qFormat/>
    <w:uiPriority w:val="9"/>
    <w:rPr>
      <w:rFonts w:asciiTheme="majorHAnsi" w:hAnsiTheme="majorHAnsi" w:eastAsiaTheme="majorEastAsia" w:cstheme="majorBidi"/>
      <w:color w:val="104862" w:themeColor="accent1" w:themeShade="BF"/>
      <w:sz w:val="40"/>
      <w:szCs w:val="40"/>
    </w:rPr>
  </w:style>
  <w:style w:type="character" w:customStyle="1" w:styleId="35">
    <w:name w:val="Heading 2 Char"/>
    <w:basedOn w:val="20"/>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36">
    <w:name w:val="Heading 3 Char"/>
    <w:basedOn w:val="20"/>
    <w:link w:val="5"/>
    <w:semiHidden/>
    <w:qFormat/>
    <w:uiPriority w:val="9"/>
    <w:rPr>
      <w:rFonts w:eastAsiaTheme="majorEastAsia" w:cstheme="majorBidi"/>
      <w:color w:val="104862" w:themeColor="accent1" w:themeShade="BF"/>
      <w:sz w:val="28"/>
      <w:szCs w:val="28"/>
    </w:rPr>
  </w:style>
  <w:style w:type="character" w:customStyle="1" w:styleId="37">
    <w:name w:val="Heading 4 Char"/>
    <w:basedOn w:val="20"/>
    <w:link w:val="6"/>
    <w:semiHidden/>
    <w:qFormat/>
    <w:uiPriority w:val="9"/>
    <w:rPr>
      <w:rFonts w:eastAsiaTheme="majorEastAsia" w:cstheme="majorBidi"/>
      <w:i/>
      <w:iCs/>
      <w:color w:val="104862" w:themeColor="accent1" w:themeShade="BF"/>
    </w:rPr>
  </w:style>
  <w:style w:type="character" w:customStyle="1" w:styleId="38">
    <w:name w:val="Heading 5 Char"/>
    <w:basedOn w:val="20"/>
    <w:link w:val="7"/>
    <w:semiHidden/>
    <w:qFormat/>
    <w:uiPriority w:val="9"/>
    <w:rPr>
      <w:rFonts w:eastAsiaTheme="majorEastAsia" w:cstheme="majorBidi"/>
      <w:color w:val="104862" w:themeColor="accent1" w:themeShade="BF"/>
    </w:rPr>
  </w:style>
  <w:style w:type="character" w:customStyle="1" w:styleId="39">
    <w:name w:val="Heading 6 Char"/>
    <w:basedOn w:val="20"/>
    <w:link w:val="8"/>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40">
    <w:name w:val="Heading 7 Char"/>
    <w:basedOn w:val="20"/>
    <w:link w:val="9"/>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1">
    <w:name w:val="Heading 8 Char"/>
    <w:basedOn w:val="20"/>
    <w:link w:val="10"/>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42">
    <w:name w:val="Heading 9 Char"/>
    <w:basedOn w:val="20"/>
    <w:link w:val="11"/>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paragraph" w:customStyle="1" w:styleId="43">
    <w:name w:val="Footnote Block Text"/>
    <w:basedOn w:val="17"/>
    <w:next w:val="17"/>
    <w:unhideWhenUsed/>
    <w:qFormat/>
    <w:uiPriority w:val="9"/>
    <w:pPr>
      <w:spacing w:before="100" w:after="100"/>
      <w:ind w:left="480" w:right="480" w:firstLine="0"/>
    </w:pPr>
  </w:style>
  <w:style w:type="table" w:customStyle="1" w:styleId="44">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 w:type="paragraph" w:customStyle="1" w:styleId="45">
    <w:name w:val="Definition Term"/>
    <w:basedOn w:val="1"/>
    <w:next w:val="46"/>
    <w:qFormat/>
    <w:uiPriority w:val="0"/>
    <w:pPr>
      <w:keepNext/>
      <w:keepLines/>
      <w:spacing w:after="0"/>
    </w:pPr>
    <w:rPr>
      <w:b/>
    </w:rPr>
  </w:style>
  <w:style w:type="paragraph" w:customStyle="1" w:styleId="46">
    <w:name w:val="Definition"/>
    <w:basedOn w:val="1"/>
    <w:qFormat/>
    <w:uiPriority w:val="0"/>
  </w:style>
  <w:style w:type="paragraph" w:customStyle="1" w:styleId="47">
    <w:name w:val="Table Caption"/>
    <w:basedOn w:val="12"/>
    <w:qFormat/>
    <w:uiPriority w:val="0"/>
    <w:pPr>
      <w:keepNext/>
    </w:pPr>
  </w:style>
  <w:style w:type="paragraph" w:customStyle="1" w:styleId="48">
    <w:name w:val="Image Caption"/>
    <w:basedOn w:val="12"/>
    <w:qFormat/>
    <w:uiPriority w:val="0"/>
  </w:style>
  <w:style w:type="paragraph" w:customStyle="1" w:styleId="49">
    <w:name w:val="Figure"/>
    <w:basedOn w:val="1"/>
    <w:qFormat/>
    <w:uiPriority w:val="0"/>
  </w:style>
  <w:style w:type="paragraph" w:customStyle="1" w:styleId="50">
    <w:name w:val="Captioned Figure"/>
    <w:basedOn w:val="49"/>
    <w:qFormat/>
    <w:uiPriority w:val="0"/>
    <w:pPr>
      <w:keepNext/>
    </w:pPr>
  </w:style>
  <w:style w:type="character" w:customStyle="1" w:styleId="51">
    <w:name w:val="Verbatim Char"/>
    <w:basedOn w:val="24"/>
    <w:link w:val="52"/>
    <w:qFormat/>
    <w:uiPriority w:val="0"/>
    <w:rPr>
      <w:rFonts w:ascii="Consolas" w:hAnsi="Consolas"/>
      <w:sz w:val="22"/>
    </w:rPr>
  </w:style>
  <w:style w:type="paragraph" w:customStyle="1" w:styleId="52">
    <w:name w:val="Source Code"/>
    <w:basedOn w:val="1"/>
    <w:link w:val="51"/>
    <w:qFormat/>
    <w:uiPriority w:val="0"/>
    <w:pPr>
      <w:wordWrap w:val="0"/>
    </w:pPr>
  </w:style>
  <w:style w:type="character" w:customStyle="1" w:styleId="53">
    <w:name w:val="Section Number"/>
    <w:basedOn w:val="24"/>
    <w:qFormat/>
    <w:uiPriority w:val="0"/>
  </w:style>
  <w:style w:type="paragraph" w:customStyle="1" w:styleId="54">
    <w:name w:val="TOC Heading"/>
    <w:basedOn w:val="2"/>
    <w:next w:val="3"/>
    <w:unhideWhenUsed/>
    <w:qFormat/>
    <w:uiPriority w:val="39"/>
    <w:pPr>
      <w:spacing w:before="240" w:line="259" w:lineRule="auto"/>
      <w:outlineLvl w:val="9"/>
    </w:pPr>
    <w:rPr>
      <w:rFonts w:asciiTheme="majorHAnsi" w:hAnsiTheme="majorHAnsi" w:eastAsiaTheme="majorEastAsia" w:cstheme="majorBidi"/>
      <w:color w:val="104862" w:themeColor="accent1" w:themeShade="BF"/>
    </w:rPr>
  </w:style>
  <w:style w:type="character" w:customStyle="1" w:styleId="55">
    <w:name w:val="KeywordTok"/>
    <w:basedOn w:val="51"/>
    <w:qFormat/>
    <w:uiPriority w:val="0"/>
    <w:rPr>
      <w:b/>
      <w:color w:val="007020"/>
    </w:rPr>
  </w:style>
  <w:style w:type="character" w:customStyle="1" w:styleId="56">
    <w:name w:val="DataTypeTok"/>
    <w:basedOn w:val="51"/>
    <w:qFormat/>
    <w:uiPriority w:val="0"/>
    <w:rPr>
      <w:color w:val="902000"/>
    </w:rPr>
  </w:style>
  <w:style w:type="character" w:customStyle="1" w:styleId="57">
    <w:name w:val="DecValTok"/>
    <w:basedOn w:val="51"/>
    <w:qFormat/>
    <w:uiPriority w:val="0"/>
    <w:rPr>
      <w:color w:val="40A070"/>
    </w:rPr>
  </w:style>
  <w:style w:type="character" w:customStyle="1" w:styleId="58">
    <w:name w:val="BaseNTok"/>
    <w:basedOn w:val="51"/>
    <w:qFormat/>
    <w:uiPriority w:val="0"/>
    <w:rPr>
      <w:color w:val="40A070"/>
    </w:rPr>
  </w:style>
  <w:style w:type="character" w:customStyle="1" w:styleId="59">
    <w:name w:val="FloatTok"/>
    <w:basedOn w:val="51"/>
    <w:qFormat/>
    <w:uiPriority w:val="0"/>
    <w:rPr>
      <w:color w:val="40A070"/>
    </w:rPr>
  </w:style>
  <w:style w:type="character" w:customStyle="1" w:styleId="60">
    <w:name w:val="ConstantTok"/>
    <w:basedOn w:val="51"/>
    <w:qFormat/>
    <w:uiPriority w:val="0"/>
    <w:rPr>
      <w:color w:val="880000"/>
    </w:rPr>
  </w:style>
  <w:style w:type="character" w:customStyle="1" w:styleId="61">
    <w:name w:val="CharTok"/>
    <w:basedOn w:val="51"/>
    <w:qFormat/>
    <w:uiPriority w:val="0"/>
    <w:rPr>
      <w:color w:val="4070A0"/>
    </w:rPr>
  </w:style>
  <w:style w:type="character" w:customStyle="1" w:styleId="62">
    <w:name w:val="SpecialCharTok"/>
    <w:basedOn w:val="51"/>
    <w:qFormat/>
    <w:uiPriority w:val="0"/>
    <w:rPr>
      <w:color w:val="4070A0"/>
    </w:rPr>
  </w:style>
  <w:style w:type="character" w:customStyle="1" w:styleId="63">
    <w:name w:val="StringTok"/>
    <w:basedOn w:val="51"/>
    <w:qFormat/>
    <w:uiPriority w:val="0"/>
    <w:rPr>
      <w:color w:val="4070A0"/>
    </w:rPr>
  </w:style>
  <w:style w:type="character" w:customStyle="1" w:styleId="64">
    <w:name w:val="VerbatimStringTok"/>
    <w:basedOn w:val="51"/>
    <w:qFormat/>
    <w:uiPriority w:val="0"/>
    <w:rPr>
      <w:color w:val="4070A0"/>
    </w:rPr>
  </w:style>
  <w:style w:type="character" w:customStyle="1" w:styleId="65">
    <w:name w:val="SpecialStringTok"/>
    <w:basedOn w:val="51"/>
    <w:qFormat/>
    <w:uiPriority w:val="0"/>
    <w:rPr>
      <w:color w:val="BB6688"/>
    </w:rPr>
  </w:style>
  <w:style w:type="character" w:customStyle="1" w:styleId="66">
    <w:name w:val="ImportTok"/>
    <w:basedOn w:val="51"/>
    <w:qFormat/>
    <w:uiPriority w:val="0"/>
    <w:rPr>
      <w:b/>
      <w:color w:val="008000"/>
    </w:rPr>
  </w:style>
  <w:style w:type="character" w:customStyle="1" w:styleId="67">
    <w:name w:val="CommentTok"/>
    <w:basedOn w:val="51"/>
    <w:qFormat/>
    <w:uiPriority w:val="0"/>
    <w:rPr>
      <w:i/>
      <w:color w:val="60A0B0"/>
    </w:rPr>
  </w:style>
  <w:style w:type="character" w:customStyle="1" w:styleId="68">
    <w:name w:val="DocumentationTok"/>
    <w:basedOn w:val="51"/>
    <w:qFormat/>
    <w:uiPriority w:val="0"/>
    <w:rPr>
      <w:i/>
      <w:color w:val="BA2121"/>
    </w:rPr>
  </w:style>
  <w:style w:type="character" w:customStyle="1" w:styleId="69">
    <w:name w:val="AnnotationTok"/>
    <w:basedOn w:val="51"/>
    <w:qFormat/>
    <w:uiPriority w:val="0"/>
    <w:rPr>
      <w:b/>
      <w:i/>
      <w:color w:val="60A0B0"/>
    </w:rPr>
  </w:style>
  <w:style w:type="character" w:customStyle="1" w:styleId="70">
    <w:name w:val="CommentVarTok"/>
    <w:basedOn w:val="51"/>
    <w:qFormat/>
    <w:uiPriority w:val="0"/>
    <w:rPr>
      <w:b/>
      <w:i/>
      <w:color w:val="60A0B0"/>
    </w:rPr>
  </w:style>
  <w:style w:type="character" w:customStyle="1" w:styleId="71">
    <w:name w:val="OtherTok"/>
    <w:basedOn w:val="51"/>
    <w:qFormat/>
    <w:uiPriority w:val="0"/>
    <w:rPr>
      <w:color w:val="007020"/>
    </w:rPr>
  </w:style>
  <w:style w:type="character" w:customStyle="1" w:styleId="72">
    <w:name w:val="FunctionTok"/>
    <w:basedOn w:val="51"/>
    <w:qFormat/>
    <w:uiPriority w:val="0"/>
    <w:rPr>
      <w:color w:val="06287E"/>
    </w:rPr>
  </w:style>
  <w:style w:type="character" w:customStyle="1" w:styleId="73">
    <w:name w:val="VariableTok"/>
    <w:basedOn w:val="51"/>
    <w:qFormat/>
    <w:uiPriority w:val="0"/>
    <w:rPr>
      <w:color w:val="19177C"/>
    </w:rPr>
  </w:style>
  <w:style w:type="character" w:customStyle="1" w:styleId="74">
    <w:name w:val="ControlFlowTok"/>
    <w:basedOn w:val="51"/>
    <w:qFormat/>
    <w:uiPriority w:val="0"/>
    <w:rPr>
      <w:b/>
      <w:color w:val="007020"/>
    </w:rPr>
  </w:style>
  <w:style w:type="character" w:customStyle="1" w:styleId="75">
    <w:name w:val="OperatorTok"/>
    <w:basedOn w:val="51"/>
    <w:qFormat/>
    <w:uiPriority w:val="0"/>
    <w:rPr>
      <w:color w:val="666666"/>
    </w:rPr>
  </w:style>
  <w:style w:type="character" w:customStyle="1" w:styleId="76">
    <w:name w:val="BuiltInTok"/>
    <w:basedOn w:val="51"/>
    <w:qFormat/>
    <w:uiPriority w:val="0"/>
    <w:rPr>
      <w:color w:val="008000"/>
    </w:rPr>
  </w:style>
  <w:style w:type="character" w:customStyle="1" w:styleId="77">
    <w:name w:val="ExtensionTok"/>
    <w:basedOn w:val="51"/>
    <w:qFormat/>
    <w:uiPriority w:val="0"/>
  </w:style>
  <w:style w:type="character" w:customStyle="1" w:styleId="78">
    <w:name w:val="PreprocessorTok"/>
    <w:basedOn w:val="51"/>
    <w:qFormat/>
    <w:uiPriority w:val="0"/>
    <w:rPr>
      <w:color w:val="BC7A00"/>
    </w:rPr>
  </w:style>
  <w:style w:type="character" w:customStyle="1" w:styleId="79">
    <w:name w:val="AttributeTok"/>
    <w:basedOn w:val="51"/>
    <w:qFormat/>
    <w:uiPriority w:val="0"/>
    <w:rPr>
      <w:color w:val="7D9029"/>
    </w:rPr>
  </w:style>
  <w:style w:type="character" w:customStyle="1" w:styleId="80">
    <w:name w:val="RegionMarkerTok"/>
    <w:basedOn w:val="51"/>
    <w:qFormat/>
    <w:uiPriority w:val="0"/>
  </w:style>
  <w:style w:type="character" w:customStyle="1" w:styleId="81">
    <w:name w:val="InformationTok"/>
    <w:basedOn w:val="51"/>
    <w:qFormat/>
    <w:uiPriority w:val="0"/>
    <w:rPr>
      <w:b/>
      <w:i/>
      <w:color w:val="60A0B0"/>
    </w:rPr>
  </w:style>
  <w:style w:type="character" w:customStyle="1" w:styleId="82">
    <w:name w:val="WarningTok"/>
    <w:basedOn w:val="51"/>
    <w:qFormat/>
    <w:uiPriority w:val="0"/>
    <w:rPr>
      <w:b/>
      <w:i/>
      <w:color w:val="60A0B0"/>
    </w:rPr>
  </w:style>
  <w:style w:type="character" w:customStyle="1" w:styleId="83">
    <w:name w:val="AlertTok"/>
    <w:basedOn w:val="51"/>
    <w:qFormat/>
    <w:uiPriority w:val="0"/>
    <w:rPr>
      <w:b/>
      <w:color w:val="FF0000"/>
    </w:rPr>
  </w:style>
  <w:style w:type="character" w:customStyle="1" w:styleId="84">
    <w:name w:val="ErrorTok"/>
    <w:basedOn w:val="51"/>
    <w:qFormat/>
    <w:uiPriority w:val="0"/>
    <w:rPr>
      <w:b/>
      <w:color w:val="FF0000"/>
    </w:rPr>
  </w:style>
  <w:style w:type="character" w:customStyle="1" w:styleId="85">
    <w:name w:val="NormalTok"/>
    <w:basedOn w:val="5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5718</Words>
  <Characters>6157</Characters>
  <Lines>12</Lines>
  <Paragraphs>8</Paragraphs>
  <TotalTime>17</TotalTime>
  <ScaleCrop>false</ScaleCrop>
  <LinksUpToDate>false</LinksUpToDate>
  <CharactersWithSpaces>6207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2026-07-23T12:02:00Z</dcterms:created>
  <dc:creator>A</dc:creator>
  <cp:lastModifiedBy>张衷华</cp:lastModifiedBy>
  <dcterms:modified xsi:type="dcterms:W3CDTF">2026-07-29T08:31:20Z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eyJoZGlkIjoiMDA2MWRlMWYzYjNiNzA1NGE4MmZkZGZkMmM2NDkwMWEiLCJ1c2VySWQiOiI3NTUyMTgxMDAifQ==</vt:lpwstr>
  </property>
  <property fmtid="{D5CDD505-2E9C-101B-9397-08002B2CF9AE}" pid="3" name="KSOProductBuildVer">
    <vt:lpwstr>2052-12.1.0.26895</vt:lpwstr>
  </property>
  <property fmtid="{D5CDD505-2E9C-101B-9397-08002B2CF9AE}" pid="4" name="ICV">
    <vt:lpwstr>2D89B2267BB14EB798CBC0FFE952F409_13</vt:lpwstr>
  </property>
</Properties>
</file>