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15F00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32238BF">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2E7E95B">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65.02.01</w:t>
            </w:r>
            <w:r>
              <w:rPr>
                <w:rFonts w:ascii="黑体" w:hAnsi="黑体" w:eastAsia="黑体"/>
                <w:sz w:val="21"/>
                <w:szCs w:val="21"/>
              </w:rPr>
              <w:fldChar w:fldCharType="end"/>
            </w:r>
            <w:bookmarkEnd w:id="0"/>
          </w:p>
        </w:tc>
      </w:tr>
      <w:tr w14:paraId="469BB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429B615">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612225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F3B03EB">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10BD3B6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2"/>
          </w:p>
        </w:tc>
      </w:tr>
    </w:tbl>
    <w:p w14:paraId="5F33C4D6">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黑龙江省林学会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0133E00">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D3E744B">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000497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0F73D5">
      <w:pPr>
        <w:pStyle w:val="51"/>
        <w:framePr w:w="9639" w:h="6976" w:hRule="exact" w:hSpace="0" w:vSpace="0" w:wrap="around" w:hAnchor="page" w:y="6408"/>
        <w:jc w:val="center"/>
        <w:rPr>
          <w:rFonts w:hint="eastAsia" w:ascii="黑体" w:hAnsi="黑体" w:eastAsia="黑体"/>
          <w:b w:val="0"/>
          <w:bCs w:val="0"/>
          <w:w w:val="100"/>
        </w:rPr>
      </w:pPr>
    </w:p>
    <w:p w14:paraId="79DB9A27">
      <w:pPr>
        <w:pStyle w:val="198"/>
        <w:framePr w:h="6974" w:hRule="exact" w:wrap="around" w:x="1419" w:anchorLock="1"/>
        <w:rPr>
          <w:rFonts w:hint="eastAsia"/>
        </w:rPr>
      </w:pPr>
      <w:r>
        <w:t>樟子松碳储量估算技术指南</w:t>
      </w:r>
      <w:bookmarkStart w:id="9" w:name="CSTD_NAME"/>
      <w:bookmarkEnd w:id="9"/>
    </w:p>
    <w:p w14:paraId="78B5B9F5">
      <w:pPr>
        <w:framePr w:w="9639" w:h="6974" w:hRule="exact" w:wrap="around" w:vAnchor="page" w:hAnchor="page" w:x="1419" w:y="6408" w:anchorLock="1"/>
        <w:ind w:left="-1418"/>
      </w:pPr>
    </w:p>
    <w:p w14:paraId="6EABEC81">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w:t>
      </w:r>
      <w:r>
        <w:rPr>
          <w:rFonts w:eastAsia="黑体"/>
          <w:szCs w:val="28"/>
        </w:rPr>
        <w:fldChar w:fldCharType="end"/>
      </w:r>
      <w:bookmarkEnd w:id="10"/>
    </w:p>
    <w:p w14:paraId="549CFE7C">
      <w:pPr>
        <w:framePr w:w="9639" w:h="6974" w:hRule="exact" w:wrap="around" w:vAnchor="page" w:hAnchor="page" w:x="1419" w:y="6408" w:anchorLock="1"/>
        <w:spacing w:line="760" w:lineRule="exact"/>
        <w:ind w:left="-1418"/>
      </w:pPr>
    </w:p>
    <w:p w14:paraId="25DBAAFF">
      <w:pPr>
        <w:pStyle w:val="126"/>
        <w:framePr w:w="9639" w:h="6974" w:hRule="exact" w:wrap="around" w:vAnchor="page" w:hAnchor="page" w:x="1419" w:y="6408" w:anchorLock="1"/>
        <w:textAlignment w:val="bottom"/>
        <w:rPr>
          <w:rFonts w:eastAsia="黑体"/>
          <w:szCs w:val="28"/>
        </w:rPr>
      </w:pPr>
    </w:p>
    <w:p w14:paraId="773BCB34">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BEF9089">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088C158">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96E242F">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16F0965">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BC85E3A">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黑龙江省林学会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60D3BEB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6479485">
      <w:pPr>
        <w:pStyle w:val="92"/>
        <w:spacing w:after="360"/>
      </w:pPr>
      <w:bookmarkStart w:id="21" w:name="BookMark1"/>
      <w:r>
        <w:rPr>
          <w:rFonts w:hint="eastAsia"/>
          <w:spacing w:val="320"/>
        </w:rPr>
        <w:t>目</w:t>
      </w:r>
      <w:r>
        <w:rPr>
          <w:rFonts w:hint="eastAsia"/>
        </w:rPr>
        <w:t>次</w:t>
      </w:r>
    </w:p>
    <w:p w14:paraId="731994B2">
      <w:pPr>
        <w:pStyle w:val="20"/>
        <w:tabs>
          <w:tab w:val="right" w:leader="dot" w:pos="9354"/>
        </w:tabs>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"_Toc18837" </w:instrText>
      </w:r>
      <w:r>
        <w:fldChar w:fldCharType="separate"/>
      </w:r>
      <w:r>
        <w:rPr>
          <w:spacing w:val="320"/>
        </w:rPr>
        <w:t>前</w:t>
      </w:r>
      <w:r>
        <w:t>言</w:t>
      </w:r>
      <w:r>
        <w:tab/>
      </w:r>
      <w:r>
        <w:fldChar w:fldCharType="begin"/>
      </w:r>
      <w:r>
        <w:instrText xml:space="preserve"> PAGEREF _Toc18837 \h </w:instrText>
      </w:r>
      <w:r>
        <w:fldChar w:fldCharType="separate"/>
      </w:r>
      <w:r>
        <w:t>II</w:t>
      </w:r>
      <w:r>
        <w:fldChar w:fldCharType="end"/>
      </w:r>
      <w:r>
        <w:fldChar w:fldCharType="end"/>
      </w:r>
    </w:p>
    <w:p w14:paraId="376A5D76">
      <w:pPr>
        <w:pStyle w:val="20"/>
        <w:tabs>
          <w:tab w:val="right" w:leader="dot" w:pos="9354"/>
        </w:tabs>
      </w:pPr>
      <w:r>
        <w:fldChar w:fldCharType="begin"/>
      </w:r>
      <w:r>
        <w:instrText xml:space="preserve"> HYPERLINK \l "_Toc9085" </w:instrText>
      </w:r>
      <w:r>
        <w:fldChar w:fldCharType="separate"/>
      </w:r>
      <w:r>
        <w:rPr>
          <w:rFonts w:hint="eastAsia" w:ascii="黑体" w:eastAsia="黑体"/>
        </w:rPr>
        <w:t xml:space="preserve">1 </w:t>
      </w:r>
      <w:r>
        <w:rPr>
          <w:rFonts w:hint="eastAsia"/>
        </w:rPr>
        <w:t>范围</w:t>
      </w:r>
      <w:r>
        <w:tab/>
      </w:r>
      <w:r>
        <w:fldChar w:fldCharType="begin"/>
      </w:r>
      <w:r>
        <w:instrText xml:space="preserve"> PAGEREF _Toc9085 \h </w:instrText>
      </w:r>
      <w:r>
        <w:fldChar w:fldCharType="separate"/>
      </w:r>
      <w:r>
        <w:t>3</w:t>
      </w:r>
      <w:r>
        <w:fldChar w:fldCharType="end"/>
      </w:r>
      <w:r>
        <w:fldChar w:fldCharType="end"/>
      </w:r>
    </w:p>
    <w:p w14:paraId="069047D2">
      <w:pPr>
        <w:pStyle w:val="20"/>
        <w:tabs>
          <w:tab w:val="right" w:leader="dot" w:pos="9354"/>
        </w:tabs>
      </w:pPr>
      <w:r>
        <w:fldChar w:fldCharType="begin"/>
      </w:r>
      <w:r>
        <w:instrText xml:space="preserve"> HYPERLINK \l "_Toc22459"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_Toc22459 \h </w:instrText>
      </w:r>
      <w:r>
        <w:fldChar w:fldCharType="separate"/>
      </w:r>
      <w:r>
        <w:t>3</w:t>
      </w:r>
      <w:r>
        <w:fldChar w:fldCharType="end"/>
      </w:r>
      <w:r>
        <w:fldChar w:fldCharType="end"/>
      </w:r>
    </w:p>
    <w:p w14:paraId="681FEF7F">
      <w:pPr>
        <w:pStyle w:val="20"/>
        <w:tabs>
          <w:tab w:val="right" w:leader="dot" w:pos="9354"/>
        </w:tabs>
      </w:pPr>
      <w:r>
        <w:fldChar w:fldCharType="begin"/>
      </w:r>
      <w:r>
        <w:instrText xml:space="preserve"> HYPERLINK \l "_Toc20429"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_Toc20429 \h </w:instrText>
      </w:r>
      <w:r>
        <w:fldChar w:fldCharType="separate"/>
      </w:r>
      <w:r>
        <w:t>3</w:t>
      </w:r>
      <w:r>
        <w:fldChar w:fldCharType="end"/>
      </w:r>
      <w:r>
        <w:fldChar w:fldCharType="end"/>
      </w:r>
    </w:p>
    <w:p w14:paraId="2C33BB6C">
      <w:pPr>
        <w:pStyle w:val="25"/>
        <w:tabs>
          <w:tab w:val="right" w:leader="dot" w:pos="9354"/>
          <w:tab w:val="clear" w:pos="9344"/>
        </w:tabs>
      </w:pPr>
      <w:r>
        <w:fldChar w:fldCharType="begin"/>
      </w:r>
      <w:r>
        <w:instrText xml:space="preserve"> HYPERLINK \l "_Toc22822" </w:instrText>
      </w:r>
      <w:r>
        <w:fldChar w:fldCharType="separate"/>
      </w:r>
      <w:r>
        <w:rPr>
          <w:rFonts w:hint="eastAsia" w:ascii="黑体" w:hAnsi="Times New Roman" w:eastAsia="黑体"/>
          <w:kern w:val="0"/>
          <w14:scene3d>
            <w14:lightRig w14:rig="threePt" w14:dir="t">
              <w14:rot w14:lat="0" w14:lon="0" w14:rev="0"/>
            </w14:lightRig>
          </w14:scene3d>
        </w:rPr>
        <w:t xml:space="preserve">3.1 </w:t>
      </w:r>
      <w:r>
        <w:rPr>
          <w:rFonts w:hint="eastAsia"/>
        </w:rPr>
        <w:t>乔木林</w:t>
      </w:r>
      <w:r>
        <w:tab/>
      </w:r>
      <w:r>
        <w:fldChar w:fldCharType="begin"/>
      </w:r>
      <w:r>
        <w:instrText xml:space="preserve"> PAGEREF _Toc22822 \h </w:instrText>
      </w:r>
      <w:r>
        <w:fldChar w:fldCharType="separate"/>
      </w:r>
      <w:r>
        <w:t>3</w:t>
      </w:r>
      <w:r>
        <w:fldChar w:fldCharType="end"/>
      </w:r>
      <w:r>
        <w:fldChar w:fldCharType="end"/>
      </w:r>
    </w:p>
    <w:p w14:paraId="57A9E15E">
      <w:pPr>
        <w:pStyle w:val="25"/>
        <w:tabs>
          <w:tab w:val="right" w:leader="dot" w:pos="9354"/>
          <w:tab w:val="clear" w:pos="9344"/>
        </w:tabs>
      </w:pPr>
      <w:r>
        <w:fldChar w:fldCharType="begin"/>
      </w:r>
      <w:r>
        <w:instrText xml:space="preserve"> HYPERLINK \l "_Toc6303" </w:instrText>
      </w:r>
      <w:r>
        <w:fldChar w:fldCharType="separate"/>
      </w:r>
      <w:r>
        <w:rPr>
          <w:rFonts w:hint="eastAsia" w:ascii="黑体" w:hAnsi="Times New Roman" w:eastAsia="黑体"/>
          <w:kern w:val="0"/>
          <w14:scene3d>
            <w14:lightRig w14:rig="threePt" w14:dir="t">
              <w14:rot w14:lat="0" w14:lon="0" w14:rev="0"/>
            </w14:lightRig>
          </w14:scene3d>
        </w:rPr>
        <w:t xml:space="preserve">3.2 </w:t>
      </w:r>
      <w:r>
        <w:rPr>
          <w:rFonts w:hint="eastAsia"/>
        </w:rPr>
        <w:t>林分</w:t>
      </w:r>
      <w:r>
        <w:tab/>
      </w:r>
      <w:r>
        <w:fldChar w:fldCharType="begin"/>
      </w:r>
      <w:r>
        <w:instrText xml:space="preserve"> PAGEREF _Toc6303 \h </w:instrText>
      </w:r>
      <w:r>
        <w:fldChar w:fldCharType="separate"/>
      </w:r>
      <w:r>
        <w:t>3</w:t>
      </w:r>
      <w:r>
        <w:fldChar w:fldCharType="end"/>
      </w:r>
      <w:r>
        <w:fldChar w:fldCharType="end"/>
      </w:r>
    </w:p>
    <w:p w14:paraId="2B37C9C3">
      <w:pPr>
        <w:pStyle w:val="25"/>
        <w:tabs>
          <w:tab w:val="right" w:leader="dot" w:pos="9354"/>
          <w:tab w:val="clear" w:pos="9344"/>
        </w:tabs>
      </w:pPr>
      <w:r>
        <w:fldChar w:fldCharType="begin"/>
      </w:r>
      <w:r>
        <w:instrText xml:space="preserve"> HYPERLINK \l "_Toc30486" </w:instrText>
      </w:r>
      <w:r>
        <w:fldChar w:fldCharType="separate"/>
      </w:r>
      <w:r>
        <w:rPr>
          <w:rFonts w:hint="eastAsia" w:ascii="黑体" w:hAnsi="Times New Roman" w:eastAsia="黑体"/>
          <w:kern w:val="0"/>
          <w14:scene3d>
            <w14:lightRig w14:rig="threePt" w14:dir="t">
              <w14:rot w14:lat="0" w14:lon="0" w14:rev="0"/>
            </w14:lightRig>
          </w14:scene3d>
        </w:rPr>
        <w:t xml:space="preserve">3.3 </w:t>
      </w:r>
      <w:r>
        <w:rPr>
          <w:rFonts w:hint="eastAsia"/>
        </w:rPr>
        <w:t>树种组</w:t>
      </w:r>
      <w:r>
        <w:tab/>
      </w:r>
      <w:r>
        <w:fldChar w:fldCharType="begin"/>
      </w:r>
      <w:r>
        <w:instrText xml:space="preserve"> PAGEREF _Toc30486 \h </w:instrText>
      </w:r>
      <w:r>
        <w:fldChar w:fldCharType="separate"/>
      </w:r>
      <w:r>
        <w:t>3</w:t>
      </w:r>
      <w:r>
        <w:fldChar w:fldCharType="end"/>
      </w:r>
      <w:r>
        <w:fldChar w:fldCharType="end"/>
      </w:r>
    </w:p>
    <w:p w14:paraId="5E1DF13F">
      <w:pPr>
        <w:pStyle w:val="25"/>
        <w:tabs>
          <w:tab w:val="right" w:leader="dot" w:pos="9354"/>
          <w:tab w:val="clear" w:pos="9344"/>
        </w:tabs>
      </w:pPr>
      <w:r>
        <w:fldChar w:fldCharType="begin"/>
      </w:r>
      <w:r>
        <w:instrText xml:space="preserve"> HYPERLINK \l "_Toc14015" </w:instrText>
      </w:r>
      <w:r>
        <w:fldChar w:fldCharType="separate"/>
      </w:r>
      <w:r>
        <w:rPr>
          <w:rFonts w:hint="eastAsia" w:ascii="黑体" w:hAnsi="Times New Roman" w:eastAsia="黑体"/>
          <w:kern w:val="0"/>
          <w14:scene3d>
            <w14:lightRig w14:rig="threePt" w14:dir="t">
              <w14:rot w14:lat="0" w14:lon="0" w14:rev="0"/>
            </w14:lightRig>
          </w14:scene3d>
        </w:rPr>
        <w:t xml:space="preserve">3.4 </w:t>
      </w:r>
      <w:r>
        <w:rPr>
          <w:rFonts w:hint="eastAsia"/>
        </w:rPr>
        <w:t>樟子松</w:t>
      </w:r>
      <w:r>
        <w:tab/>
      </w:r>
      <w:r>
        <w:fldChar w:fldCharType="begin"/>
      </w:r>
      <w:r>
        <w:instrText xml:space="preserve"> PAGEREF _Toc14015 \h </w:instrText>
      </w:r>
      <w:r>
        <w:fldChar w:fldCharType="separate"/>
      </w:r>
      <w:r>
        <w:t>3</w:t>
      </w:r>
      <w:r>
        <w:fldChar w:fldCharType="end"/>
      </w:r>
      <w:r>
        <w:fldChar w:fldCharType="end"/>
      </w:r>
    </w:p>
    <w:p w14:paraId="164405EC">
      <w:pPr>
        <w:pStyle w:val="25"/>
        <w:tabs>
          <w:tab w:val="right" w:leader="dot" w:pos="9354"/>
          <w:tab w:val="clear" w:pos="9344"/>
        </w:tabs>
      </w:pPr>
      <w:r>
        <w:t>3.4 樟子松</w:t>
      </w:r>
      <w:r>
        <w:tab/>
      </w:r>
      <w:r>
        <w:t>3</w:t>
      </w:r>
    </w:p>
    <w:p w14:paraId="4AA3FE88">
      <w:pPr>
        <w:pStyle w:val="25"/>
        <w:tabs>
          <w:tab w:val="right" w:leader="dot" w:pos="9354"/>
          <w:tab w:val="clear" w:pos="9344"/>
        </w:tabs>
      </w:pPr>
      <w:r>
        <w:fldChar w:fldCharType="begin"/>
      </w:r>
      <w:r>
        <w:instrText xml:space="preserve"> HYPERLINK \l "_Toc4490" </w:instrText>
      </w:r>
      <w:r>
        <w:fldChar w:fldCharType="separate"/>
      </w:r>
      <w:r>
        <w:rPr>
          <w:rFonts w:hint="eastAsia" w:ascii="黑体" w:hAnsi="Times New Roman" w:eastAsia="黑体"/>
          <w:kern w:val="0"/>
          <w14:scene3d>
            <w14:lightRig w14:rig="threePt" w14:dir="t">
              <w14:rot w14:lat="0" w14:lon="0" w14:rev="0"/>
            </w14:lightRig>
          </w14:scene3d>
        </w:rPr>
        <w:t xml:space="preserve">3.5 </w:t>
      </w:r>
      <w:r>
        <w:rPr>
          <w:rFonts w:hint="eastAsia"/>
          <w:lang w:val="zh-CN"/>
        </w:rPr>
        <w:t>模型评价指标</w:t>
      </w:r>
      <w:r>
        <w:tab/>
      </w:r>
      <w:r>
        <w:fldChar w:fldCharType="begin"/>
      </w:r>
      <w:r>
        <w:instrText xml:space="preserve"> PAGEREF _Toc4490 \h </w:instrText>
      </w:r>
      <w:r>
        <w:fldChar w:fldCharType="separate"/>
      </w:r>
      <w:r>
        <w:t>3</w:t>
      </w:r>
      <w:r>
        <w:fldChar w:fldCharType="end"/>
      </w:r>
      <w:r>
        <w:fldChar w:fldCharType="end"/>
      </w:r>
    </w:p>
    <w:p w14:paraId="10689268">
      <w:pPr>
        <w:pStyle w:val="20"/>
        <w:tabs>
          <w:tab w:val="right" w:leader="dot" w:pos="9354"/>
        </w:tabs>
      </w:pPr>
      <w:r>
        <w:fldChar w:fldCharType="begin"/>
      </w:r>
      <w:r>
        <w:instrText xml:space="preserve"> HYPERLINK \l "_Toc29445" </w:instrText>
      </w:r>
      <w:r>
        <w:fldChar w:fldCharType="separate"/>
      </w:r>
      <w:r>
        <w:rPr>
          <w:rFonts w:hint="eastAsia" w:ascii="黑体" w:eastAsia="黑体"/>
        </w:rPr>
        <w:t xml:space="preserve">4 </w:t>
      </w:r>
      <w:r>
        <w:rPr>
          <w:rFonts w:hint="eastAsia"/>
        </w:rPr>
        <w:t>立木含碳量计算</w:t>
      </w:r>
      <w:r>
        <w:tab/>
      </w:r>
      <w:r>
        <w:fldChar w:fldCharType="begin"/>
      </w:r>
      <w:r>
        <w:instrText xml:space="preserve"> PAGEREF _Toc29445 \h </w:instrText>
      </w:r>
      <w:r>
        <w:fldChar w:fldCharType="separate"/>
      </w:r>
      <w:r>
        <w:t>4</w:t>
      </w:r>
      <w:r>
        <w:fldChar w:fldCharType="end"/>
      </w:r>
      <w:r>
        <w:fldChar w:fldCharType="end"/>
      </w:r>
    </w:p>
    <w:p w14:paraId="16C561F2">
      <w:pPr>
        <w:pStyle w:val="25"/>
        <w:tabs>
          <w:tab w:val="right" w:leader="dot" w:pos="9354"/>
          <w:tab w:val="clear" w:pos="9344"/>
        </w:tabs>
      </w:pPr>
      <w:r>
        <w:fldChar w:fldCharType="begin"/>
      </w:r>
      <w:r>
        <w:instrText xml:space="preserve"> HYPERLINK \l "_Toc31596" </w:instrText>
      </w:r>
      <w:r>
        <w:fldChar w:fldCharType="separate"/>
      </w:r>
      <w:r>
        <w:rPr>
          <w:rFonts w:hint="eastAsia" w:ascii="黑体" w:hAnsi="Times New Roman" w:eastAsia="黑体"/>
          <w:kern w:val="0"/>
          <w14:scene3d>
            <w14:lightRig w14:rig="threePt" w14:dir="t">
              <w14:rot w14:lat="0" w14:lon="0" w14:rev="0"/>
            </w14:lightRig>
          </w14:scene3d>
        </w:rPr>
        <w:t xml:space="preserve">4.1 </w:t>
      </w:r>
      <w:r>
        <w:rPr>
          <w:rFonts w:hint="eastAsia"/>
        </w:rPr>
        <w:t>二元生物量模型</w:t>
      </w:r>
      <w:r>
        <w:tab/>
      </w:r>
      <w:r>
        <w:fldChar w:fldCharType="begin"/>
      </w:r>
      <w:r>
        <w:instrText xml:space="preserve"> PAGEREF _Toc31596 \h </w:instrText>
      </w:r>
      <w:r>
        <w:fldChar w:fldCharType="separate"/>
      </w:r>
      <w:r>
        <w:t>4</w:t>
      </w:r>
      <w:r>
        <w:fldChar w:fldCharType="end"/>
      </w:r>
      <w:r>
        <w:fldChar w:fldCharType="end"/>
      </w:r>
    </w:p>
    <w:p w14:paraId="2D4B434D">
      <w:pPr>
        <w:pStyle w:val="25"/>
        <w:tabs>
          <w:tab w:val="right" w:leader="dot" w:pos="9354"/>
          <w:tab w:val="clear" w:pos="9344"/>
        </w:tabs>
      </w:pPr>
      <w:r>
        <w:fldChar w:fldCharType="begin"/>
      </w:r>
      <w:r>
        <w:instrText xml:space="preserve"> HYPERLINK \l "_Toc5220" </w:instrText>
      </w:r>
      <w:r>
        <w:fldChar w:fldCharType="separate"/>
      </w:r>
      <w:r>
        <w:rPr>
          <w:rFonts w:hint="eastAsia" w:ascii="黑体" w:hAnsi="Times New Roman" w:eastAsia="黑体"/>
          <w:kern w:val="0"/>
          <w14:scene3d>
            <w14:lightRig w14:rig="threePt" w14:dir="t">
              <w14:rot w14:lat="0" w14:lon="0" w14:rev="0"/>
            </w14:lightRig>
          </w14:scene3d>
        </w:rPr>
        <w:t xml:space="preserve">4.2 </w:t>
      </w:r>
      <w:r>
        <w:rPr>
          <w:rFonts w:ascii="Times New Roman" w:hAnsi="Times New Roman"/>
        </w:rPr>
        <w:t>相容性生物量模型</w:t>
      </w:r>
      <w:r>
        <w:tab/>
      </w:r>
      <w:r>
        <w:fldChar w:fldCharType="begin"/>
      </w:r>
      <w:r>
        <w:instrText xml:space="preserve"> PAGEREF _Toc5220 \h </w:instrText>
      </w:r>
      <w:r>
        <w:fldChar w:fldCharType="separate"/>
      </w:r>
      <w:r>
        <w:t>5</w:t>
      </w:r>
      <w:r>
        <w:fldChar w:fldCharType="end"/>
      </w:r>
      <w:r>
        <w:fldChar w:fldCharType="end"/>
      </w:r>
    </w:p>
    <w:p w14:paraId="3B61B844">
      <w:pPr>
        <w:pStyle w:val="25"/>
        <w:tabs>
          <w:tab w:val="right" w:leader="dot" w:pos="9354"/>
          <w:tab w:val="clear" w:pos="9344"/>
        </w:tabs>
      </w:pPr>
      <w:r>
        <w:fldChar w:fldCharType="begin"/>
      </w:r>
      <w:r>
        <w:instrText xml:space="preserve"> HYPERLINK \l "_Toc18661" </w:instrText>
      </w:r>
      <w:r>
        <w:fldChar w:fldCharType="separate"/>
      </w:r>
      <w:r>
        <w:rPr>
          <w:rFonts w:hint="eastAsia" w:ascii="黑体" w:hAnsi="Times New Roman" w:eastAsia="黑体"/>
          <w:kern w:val="0"/>
          <w14:scene3d>
            <w14:lightRig w14:rig="threePt" w14:dir="t">
              <w14:rot w14:lat="0" w14:lon="0" w14:rev="0"/>
            </w14:lightRig>
          </w14:scene3d>
        </w:rPr>
        <w:t xml:space="preserve">4.3 </w:t>
      </w:r>
      <w:r>
        <w:rPr>
          <w:rFonts w:ascii="Times New Roman" w:hAnsi="Times New Roman"/>
        </w:rPr>
        <w:t>模型</w:t>
      </w:r>
      <w:r>
        <w:rPr>
          <w:rFonts w:hint="eastAsia" w:ascii="Times New Roman"/>
        </w:rPr>
        <w:t>参数</w:t>
      </w:r>
      <w:r>
        <w:tab/>
      </w:r>
      <w:r>
        <w:fldChar w:fldCharType="begin"/>
      </w:r>
      <w:r>
        <w:instrText xml:space="preserve"> PAGEREF _Toc18661 \h </w:instrText>
      </w:r>
      <w:r>
        <w:fldChar w:fldCharType="separate"/>
      </w:r>
      <w:r>
        <w:t>5</w:t>
      </w:r>
      <w:r>
        <w:fldChar w:fldCharType="end"/>
      </w:r>
      <w:r>
        <w:fldChar w:fldCharType="end"/>
      </w:r>
    </w:p>
    <w:p w14:paraId="2EE6D3A2">
      <w:pPr>
        <w:pStyle w:val="25"/>
        <w:tabs>
          <w:tab w:val="right" w:leader="dot" w:pos="9354"/>
          <w:tab w:val="clear" w:pos="9344"/>
        </w:tabs>
      </w:pPr>
      <w:r>
        <w:fldChar w:fldCharType="begin"/>
      </w:r>
      <w:r>
        <w:instrText xml:space="preserve"> HYPERLINK \l "_Toc11093" </w:instrText>
      </w:r>
      <w:r>
        <w:fldChar w:fldCharType="separate"/>
      </w:r>
      <w:r>
        <w:rPr>
          <w:rFonts w:hint="eastAsia" w:ascii="黑体" w:hAnsi="Times New Roman" w:eastAsia="黑体"/>
          <w:kern w:val="0"/>
          <w14:scene3d>
            <w14:lightRig w14:rig="threePt" w14:dir="t">
              <w14:rot w14:lat="0" w14:lon="0" w14:rev="0"/>
            </w14:lightRig>
          </w14:scene3d>
        </w:rPr>
        <w:t xml:space="preserve">4.4 </w:t>
      </w:r>
      <w:r>
        <w:rPr>
          <w:rFonts w:ascii="Times New Roman" w:hAnsi="Times New Roman"/>
        </w:rPr>
        <w:t>模型</w:t>
      </w:r>
      <w:r>
        <w:rPr>
          <w:rFonts w:hint="eastAsia" w:ascii="Times New Roman"/>
        </w:rPr>
        <w:t>评价指标</w:t>
      </w:r>
      <w:r>
        <w:tab/>
      </w:r>
      <w:r>
        <w:fldChar w:fldCharType="begin"/>
      </w:r>
      <w:r>
        <w:instrText xml:space="preserve"> PAGEREF _Toc11093 \h </w:instrText>
      </w:r>
      <w:r>
        <w:fldChar w:fldCharType="separate"/>
      </w:r>
      <w:r>
        <w:t>5</w:t>
      </w:r>
      <w:r>
        <w:fldChar w:fldCharType="end"/>
      </w:r>
      <w:r>
        <w:fldChar w:fldCharType="end"/>
      </w:r>
    </w:p>
    <w:p w14:paraId="6851B9E7">
      <w:pPr>
        <w:pStyle w:val="25"/>
        <w:tabs>
          <w:tab w:val="right" w:leader="dot" w:pos="9354"/>
          <w:tab w:val="clear" w:pos="9344"/>
        </w:tabs>
      </w:pPr>
      <w:r>
        <w:fldChar w:fldCharType="begin"/>
      </w:r>
      <w:r>
        <w:instrText xml:space="preserve"> HYPERLINK \l "_Toc18844" </w:instrText>
      </w:r>
      <w:r>
        <w:fldChar w:fldCharType="separate"/>
      </w:r>
      <w:r>
        <w:rPr>
          <w:rFonts w:hint="eastAsia" w:ascii="黑体" w:hAnsi="Times New Roman" w:eastAsia="黑体"/>
          <w:kern w:val="0"/>
          <w14:scene3d>
            <w14:lightRig w14:rig="threePt" w14:dir="t">
              <w14:rot w14:lat="0" w14:lon="0" w14:rev="0"/>
            </w14:lightRig>
          </w14:scene3d>
        </w:rPr>
        <w:t xml:space="preserve">4.5 </w:t>
      </w:r>
      <w:r>
        <w:rPr>
          <w:rFonts w:hint="eastAsia" w:ascii="Times New Roman"/>
        </w:rPr>
        <w:t>含碳系数</w:t>
      </w:r>
      <w:r>
        <w:tab/>
      </w:r>
      <w:r>
        <w:fldChar w:fldCharType="begin"/>
      </w:r>
      <w:r>
        <w:instrText xml:space="preserve"> PAGEREF _Toc18844 \h </w:instrText>
      </w:r>
      <w:r>
        <w:fldChar w:fldCharType="separate"/>
      </w:r>
      <w:r>
        <w:t>6</w:t>
      </w:r>
      <w:r>
        <w:fldChar w:fldCharType="end"/>
      </w:r>
      <w:r>
        <w:fldChar w:fldCharType="end"/>
      </w:r>
    </w:p>
    <w:p w14:paraId="2255BAC5">
      <w:pPr>
        <w:pStyle w:val="25"/>
        <w:tabs>
          <w:tab w:val="right" w:leader="dot" w:pos="9354"/>
          <w:tab w:val="clear" w:pos="9344"/>
        </w:tabs>
      </w:pPr>
      <w:r>
        <w:fldChar w:fldCharType="begin"/>
      </w:r>
      <w:r>
        <w:instrText xml:space="preserve"> HYPERLINK \l "_Toc3502" </w:instrText>
      </w:r>
      <w:r>
        <w:fldChar w:fldCharType="separate"/>
      </w:r>
      <w:r>
        <w:rPr>
          <w:rFonts w:hint="eastAsia" w:ascii="黑体" w:hAnsi="Times New Roman" w:eastAsia="黑体"/>
          <w:kern w:val="0"/>
          <w14:scene3d>
            <w14:lightRig w14:rig="threePt" w14:dir="t">
              <w14:rot w14:lat="0" w14:lon="0" w14:rev="0"/>
            </w14:lightRig>
          </w14:scene3d>
        </w:rPr>
        <w:t xml:space="preserve">4.6 </w:t>
      </w:r>
      <w:r>
        <w:rPr>
          <w:rFonts w:hint="eastAsia" w:ascii="Times New Roman"/>
        </w:rPr>
        <w:t>立木含碳量计算</w:t>
      </w:r>
      <w:r>
        <w:tab/>
      </w:r>
      <w:r>
        <w:fldChar w:fldCharType="begin"/>
      </w:r>
      <w:r>
        <w:instrText xml:space="preserve"> PAGEREF _Toc3502 \h </w:instrText>
      </w:r>
      <w:r>
        <w:fldChar w:fldCharType="separate"/>
      </w:r>
      <w:r>
        <w:t>6</w:t>
      </w:r>
      <w:r>
        <w:fldChar w:fldCharType="end"/>
      </w:r>
      <w:r>
        <w:fldChar w:fldCharType="end"/>
      </w:r>
    </w:p>
    <w:p w14:paraId="4DEAE7F7">
      <w:pPr>
        <w:pStyle w:val="20"/>
        <w:tabs>
          <w:tab w:val="right" w:leader="dot" w:pos="9354"/>
        </w:tabs>
      </w:pPr>
      <w:r>
        <w:fldChar w:fldCharType="begin"/>
      </w:r>
      <w:r>
        <w:instrText xml:space="preserve"> HYPERLINK \l "_Toc21938" </w:instrText>
      </w:r>
      <w:r>
        <w:fldChar w:fldCharType="separate"/>
      </w:r>
      <w:r>
        <w:rPr>
          <w:rFonts w:hint="eastAsia" w:ascii="黑体" w:eastAsia="黑体"/>
        </w:rPr>
        <w:t xml:space="preserve">5 </w:t>
      </w:r>
      <w:r>
        <w:rPr>
          <w:rFonts w:hint="eastAsia"/>
        </w:rPr>
        <w:t>林分碳储量估算方法</w:t>
      </w:r>
      <w:r>
        <w:tab/>
      </w:r>
      <w:r>
        <w:fldChar w:fldCharType="begin"/>
      </w:r>
      <w:r>
        <w:instrText xml:space="preserve"> PAGEREF _Toc21938 \h </w:instrText>
      </w:r>
      <w:r>
        <w:fldChar w:fldCharType="separate"/>
      </w:r>
      <w:r>
        <w:t>6</w:t>
      </w:r>
      <w:r>
        <w:fldChar w:fldCharType="end"/>
      </w:r>
      <w:r>
        <w:fldChar w:fldCharType="end"/>
      </w:r>
    </w:p>
    <w:p w14:paraId="47D1C4BF">
      <w:pPr>
        <w:pStyle w:val="25"/>
        <w:tabs>
          <w:tab w:val="right" w:leader="dot" w:pos="9354"/>
          <w:tab w:val="clear" w:pos="9344"/>
        </w:tabs>
      </w:pPr>
      <w:r>
        <w:fldChar w:fldCharType="begin"/>
      </w:r>
      <w:r>
        <w:instrText xml:space="preserve"> HYPERLINK \l "_Toc11817" </w:instrText>
      </w:r>
      <w:r>
        <w:fldChar w:fldCharType="separate"/>
      </w:r>
      <w:r>
        <w:rPr>
          <w:rFonts w:hint="eastAsia" w:ascii="黑体" w:hAnsi="Times New Roman" w:eastAsia="黑体"/>
          <w:kern w:val="0"/>
          <w14:scene3d>
            <w14:lightRig w14:rig="threePt" w14:dir="t">
              <w14:rot w14:lat="0" w14:lon="0" w14:rev="0"/>
            </w14:lightRig>
          </w14:scene3d>
        </w:rPr>
        <w:t xml:space="preserve">5.1 </w:t>
      </w:r>
      <w:r>
        <w:rPr>
          <w:rFonts w:hint="eastAsia"/>
        </w:rPr>
        <w:t>碳密度计算方法</w:t>
      </w:r>
      <w:r>
        <w:tab/>
      </w:r>
      <w:r>
        <w:fldChar w:fldCharType="begin"/>
      </w:r>
      <w:r>
        <w:instrText xml:space="preserve"> PAGEREF _Toc11817 \h </w:instrText>
      </w:r>
      <w:r>
        <w:fldChar w:fldCharType="separate"/>
      </w:r>
      <w:r>
        <w:t>6</w:t>
      </w:r>
      <w:r>
        <w:fldChar w:fldCharType="end"/>
      </w:r>
      <w:r>
        <w:fldChar w:fldCharType="end"/>
      </w:r>
    </w:p>
    <w:p w14:paraId="5575C14E">
      <w:pPr>
        <w:pStyle w:val="25"/>
        <w:tabs>
          <w:tab w:val="right" w:leader="dot" w:pos="9354"/>
          <w:tab w:val="clear" w:pos="9344"/>
        </w:tabs>
      </w:pPr>
      <w:r>
        <w:fldChar w:fldCharType="begin"/>
      </w:r>
      <w:r>
        <w:instrText xml:space="preserve"> HYPERLINK \l "_Toc2987" </w:instrText>
      </w:r>
      <w:r>
        <w:fldChar w:fldCharType="separate"/>
      </w:r>
      <w:r>
        <w:rPr>
          <w:rFonts w:hint="eastAsia" w:ascii="黑体" w:hAnsi="Times New Roman" w:eastAsia="黑体"/>
          <w:kern w:val="0"/>
          <w14:scene3d>
            <w14:lightRig w14:rig="threePt" w14:dir="t">
              <w14:rot w14:lat="0" w14:lon="0" w14:rev="0"/>
            </w14:lightRig>
          </w14:scene3d>
        </w:rPr>
        <w:t xml:space="preserve">5.2 </w:t>
      </w:r>
      <w:r>
        <w:rPr>
          <w:rFonts w:hint="eastAsia"/>
        </w:rPr>
        <w:t>碳储量计算方法</w:t>
      </w:r>
      <w:r>
        <w:tab/>
      </w:r>
      <w:r>
        <w:fldChar w:fldCharType="begin"/>
      </w:r>
      <w:r>
        <w:instrText xml:space="preserve"> PAGEREF _Toc2987 \h </w:instrText>
      </w:r>
      <w:r>
        <w:fldChar w:fldCharType="separate"/>
      </w:r>
      <w:r>
        <w:t>6</w:t>
      </w:r>
      <w:r>
        <w:fldChar w:fldCharType="end"/>
      </w:r>
      <w:r>
        <w:fldChar w:fldCharType="end"/>
      </w:r>
    </w:p>
    <w:p w14:paraId="2185B916">
      <w:pPr>
        <w:pStyle w:val="20"/>
        <w:tabs>
          <w:tab w:val="right" w:leader="dot" w:pos="9354"/>
        </w:tabs>
      </w:pPr>
      <w:r>
        <w:fldChar w:fldCharType="begin"/>
      </w:r>
      <w:r>
        <w:instrText xml:space="preserve"> HYPERLINK \l "_Toc5412" </w:instrText>
      </w:r>
      <w:r>
        <w:fldChar w:fldCharType="separate"/>
      </w:r>
      <w:r>
        <w:rPr>
          <w:rFonts w:hint="eastAsia" w:ascii="黑体" w:eastAsia="黑体"/>
        </w:rPr>
        <w:t xml:space="preserve">6 </w:t>
      </w:r>
      <w:r>
        <w:rPr>
          <w:rFonts w:hint="eastAsia"/>
        </w:rPr>
        <w:t>应用</w:t>
      </w:r>
      <w:r>
        <w:tab/>
      </w:r>
      <w:r>
        <w:fldChar w:fldCharType="begin"/>
      </w:r>
      <w:r>
        <w:instrText xml:space="preserve"> PAGEREF _Toc5412 \h </w:instrText>
      </w:r>
      <w:r>
        <w:fldChar w:fldCharType="separate"/>
      </w:r>
      <w:r>
        <w:t>6</w:t>
      </w:r>
      <w:r>
        <w:fldChar w:fldCharType="end"/>
      </w:r>
      <w:r>
        <w:fldChar w:fldCharType="end"/>
      </w:r>
    </w:p>
    <w:p w14:paraId="221A3C1D">
      <w:pPr>
        <w:pStyle w:val="20"/>
        <w:tabs>
          <w:tab w:val="right" w:leader="dot" w:pos="9354"/>
        </w:tabs>
      </w:pPr>
      <w:r>
        <w:fldChar w:fldCharType="begin"/>
      </w:r>
      <w:r>
        <w:instrText xml:space="preserve"> HYPERLINK \l "_Toc20141" </w:instrText>
      </w:r>
      <w:r>
        <w:fldChar w:fldCharType="separate"/>
      </w:r>
      <w:r>
        <w:rPr>
          <w:rFonts w:hint="eastAsia" w:ascii="黑体" w:eastAsia="黑体"/>
        </w:rPr>
        <w:t xml:space="preserve">7 </w:t>
      </w:r>
      <w:r>
        <w:rPr>
          <w:rFonts w:hint="eastAsia"/>
        </w:rPr>
        <w:t>技术档案</w:t>
      </w:r>
      <w:r>
        <w:tab/>
      </w:r>
      <w:r>
        <w:fldChar w:fldCharType="begin"/>
      </w:r>
      <w:r>
        <w:instrText xml:space="preserve"> PAGEREF _Toc20141 \h </w:instrText>
      </w:r>
      <w:r>
        <w:fldChar w:fldCharType="separate"/>
      </w:r>
      <w:r>
        <w:t>7</w:t>
      </w:r>
      <w:r>
        <w:fldChar w:fldCharType="end"/>
      </w:r>
      <w:r>
        <w:fldChar w:fldCharType="end"/>
      </w:r>
    </w:p>
    <w:p w14:paraId="6380E413">
      <w:pPr>
        <w:pStyle w:val="92"/>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r>
        <w:rPr>
          <w:rFonts w:hint="eastAsia"/>
        </w:rPr>
        <w:drawing>
          <wp:inline distT="0" distB="0" distL="0" distR="0">
            <wp:extent cx="3462655" cy="318135"/>
            <wp:effectExtent l="0" t="0" r="2540" b="5715"/>
            <wp:docPr id="1969863975" name="图片 1969863975"/>
            <wp:cNvGraphicFramePr/>
            <a:graphic xmlns:a="http://schemas.openxmlformats.org/drawingml/2006/main">
              <a:graphicData uri="http://schemas.openxmlformats.org/drawingml/2006/picture">
                <pic:pic xmlns:pic="http://schemas.openxmlformats.org/drawingml/2006/picture">
                  <pic:nvPicPr>
                    <pic:cNvPr id="1969863975" name="图片 1969863975"/>
                    <pic:cNvPicPr/>
                  </pic:nvPicPr>
                  <pic:blipFill>
                    <a:blip r:embed="rId17">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p>
    <w:bookmarkEnd w:id="21"/>
    <w:p w14:paraId="62BA87F0">
      <w:pPr>
        <w:pStyle w:val="90"/>
        <w:spacing w:after="360"/>
      </w:pPr>
      <w:bookmarkStart w:id="22" w:name="_Toc18837"/>
      <w:bookmarkStart w:id="23" w:name="BookMark2"/>
      <w:r>
        <w:rPr>
          <w:spacing w:val="320"/>
        </w:rPr>
        <w:t>前</w:t>
      </w:r>
      <w:r>
        <w:t>言</w:t>
      </w:r>
      <w:bookmarkEnd w:id="22"/>
    </w:p>
    <w:p w14:paraId="28FDF6A1">
      <w:pPr>
        <w:pStyle w:val="57"/>
        <w:ind w:firstLine="420"/>
      </w:pPr>
      <w:r>
        <w:rPr>
          <w:rFonts w:hint="eastAsia"/>
        </w:rPr>
        <w:t>本文件按照GB/T 1.1—2020《标准化工作导则  第1部分：标准化文件的结构和起草规则》的规定起草。</w:t>
      </w:r>
    </w:p>
    <w:p w14:paraId="31EB3C4E">
      <w:pPr>
        <w:pStyle w:val="57"/>
        <w:ind w:firstLine="420"/>
      </w:pPr>
      <w:r>
        <w:rPr>
          <w:rFonts w:hint="eastAsia"/>
        </w:rPr>
        <w:t>请注意本文件的某些内容可能涉及专利。本文件的发布机构不承担识别专利的责任。</w:t>
      </w:r>
    </w:p>
    <w:p w14:paraId="2875508F">
      <w:pPr>
        <w:pStyle w:val="57"/>
        <w:ind w:firstLine="420"/>
      </w:pPr>
      <w:r>
        <w:rPr>
          <w:rFonts w:hint="eastAsia"/>
        </w:rPr>
        <w:t>本文件由黑龙江省林学会提出并归口。</w:t>
      </w:r>
    </w:p>
    <w:p w14:paraId="37A037B8">
      <w:pPr>
        <w:pStyle w:val="57"/>
        <w:ind w:firstLine="420"/>
        <w:rPr>
          <w:color w:val="auto"/>
        </w:rPr>
      </w:pPr>
      <w:r>
        <w:rPr>
          <w:rFonts w:hint="eastAsia"/>
          <w:color w:val="auto"/>
        </w:rPr>
        <w:t>本文件起草单位：东北林业大学，黑龙江省庆安国有林场管理局，</w:t>
      </w:r>
      <w:r>
        <w:rPr>
          <w:rFonts w:hint="eastAsia"/>
          <w:color w:val="auto"/>
          <w:lang w:eastAsia="zh-CN"/>
        </w:rPr>
        <w:t>黑龙江省自然与生态研究所，黑龙江省森林植物园，黑龙江省林业技术服务中心</w:t>
      </w:r>
      <w:r>
        <w:rPr>
          <w:rFonts w:hint="eastAsia"/>
          <w:color w:val="auto"/>
        </w:rPr>
        <w:t>。</w:t>
      </w:r>
    </w:p>
    <w:p w14:paraId="18866969">
      <w:pPr>
        <w:pStyle w:val="57"/>
        <w:ind w:firstLine="420"/>
        <w:rPr>
          <w:color w:val="auto"/>
        </w:rPr>
      </w:pPr>
      <w:r>
        <w:rPr>
          <w:rFonts w:hint="eastAsia"/>
          <w:color w:val="auto"/>
        </w:rPr>
        <w:t>本文件主要起草人：</w:t>
      </w:r>
      <w:r>
        <w:rPr>
          <w:rFonts w:hint="eastAsia" w:ascii="Calibri" w:hAnsi="Calibri"/>
          <w:color w:val="auto"/>
          <w:szCs w:val="22"/>
        </w:rPr>
        <w:t xml:space="preserve">郭晓瑞 </w:t>
      </w:r>
      <w:r>
        <w:rPr>
          <w:rFonts w:hint="eastAsia" w:ascii="Calibri" w:hAnsi="Calibri"/>
          <w:color w:val="auto"/>
          <w:szCs w:val="22"/>
          <w:lang w:val="en-US" w:eastAsia="zh-CN"/>
        </w:rPr>
        <w:t xml:space="preserve">陈志强 王化 张志刚 张瑜 宋佳庚 </w:t>
      </w:r>
      <w:r>
        <w:rPr>
          <w:rFonts w:hint="eastAsia" w:ascii="Calibri" w:hAnsi="Calibri"/>
          <w:color w:val="auto"/>
          <w:szCs w:val="22"/>
        </w:rPr>
        <w:t>尤学 宗月月 刘彦</w:t>
      </w:r>
      <w:bookmarkStart w:id="68" w:name="_GoBack"/>
      <w:bookmarkEnd w:id="68"/>
      <w:r>
        <w:rPr>
          <w:rFonts w:hint="eastAsia" w:ascii="Calibri" w:hAnsi="Calibri"/>
          <w:color w:val="auto"/>
          <w:szCs w:val="22"/>
          <w:lang w:eastAsia="zh-CN"/>
        </w:rPr>
        <w:t>军</w:t>
      </w:r>
      <w:r>
        <w:rPr>
          <w:rFonts w:hint="eastAsia" w:ascii="Calibri" w:hAnsi="Calibri"/>
          <w:color w:val="auto"/>
          <w:szCs w:val="22"/>
        </w:rPr>
        <w:t xml:space="preserve"> 姜思琦</w:t>
      </w:r>
      <w:r>
        <w:rPr>
          <w:rFonts w:hint="eastAsia"/>
          <w:color w:val="auto"/>
        </w:rPr>
        <w:t>。</w:t>
      </w:r>
    </w:p>
    <w:p w14:paraId="77869345">
      <w:pPr>
        <w:pStyle w:val="57"/>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00CCABC4">
      <w:pPr>
        <w:spacing w:line="20" w:lineRule="exact"/>
        <w:jc w:val="center"/>
        <w:rPr>
          <w:rFonts w:hint="eastAsia" w:ascii="黑体" w:hAnsi="黑体" w:eastAsia="黑体"/>
          <w:sz w:val="32"/>
          <w:szCs w:val="32"/>
        </w:rPr>
      </w:pPr>
      <w:bookmarkStart w:id="24" w:name="BookMark4"/>
    </w:p>
    <w:p w14:paraId="46E62EAE">
      <w:pPr>
        <w:spacing w:line="20" w:lineRule="exact"/>
        <w:jc w:val="center"/>
        <w:rPr>
          <w:rFonts w:hint="eastAsia" w:ascii="黑体" w:hAnsi="黑体" w:eastAsia="黑体"/>
          <w:sz w:val="32"/>
          <w:szCs w:val="32"/>
        </w:rPr>
      </w:pPr>
    </w:p>
    <w:sdt>
      <w:sdtPr>
        <w:tag w:val="NEW_STAND_NAME"/>
        <w:id w:val="595910757"/>
        <w:lock w:val="sdtLocked"/>
        <w:placeholder>
          <w:docPart w:val="0160B3DD1B9A4E6FADEA1F14FE5D7CF7"/>
        </w:placeholder>
      </w:sdtPr>
      <w:sdtContent>
        <w:p w14:paraId="0799B710">
          <w:pPr>
            <w:pStyle w:val="178"/>
            <w:spacing w:before="240" w:beforeLines="100" w:after="528" w:afterLines="220"/>
            <w:rPr>
              <w:rFonts w:hint="eastAsia"/>
            </w:rPr>
          </w:pPr>
          <w:bookmarkStart w:id="25" w:name="NEW_STAND_NAME"/>
          <w:r>
            <w:rPr>
              <w:rFonts w:hint="eastAsia"/>
            </w:rPr>
            <w:t>栎类碳储量估算技术规范</w:t>
          </w:r>
        </w:p>
      </w:sdtContent>
    </w:sdt>
    <w:bookmarkEnd w:id="25"/>
    <w:p w14:paraId="2F108454">
      <w:pPr>
        <w:pStyle w:val="105"/>
        <w:spacing w:before="240" w:after="240"/>
      </w:pPr>
      <w:bookmarkStart w:id="26" w:name="_Toc26718930"/>
      <w:bookmarkStart w:id="27" w:name="_Toc17233325"/>
      <w:bookmarkStart w:id="28" w:name="_Toc24884211"/>
      <w:bookmarkStart w:id="29" w:name="_Toc26986771"/>
      <w:bookmarkStart w:id="30" w:name="_Toc17233333"/>
      <w:bookmarkStart w:id="31" w:name="_Toc24884218"/>
      <w:bookmarkStart w:id="32" w:name="_Toc97192964"/>
      <w:bookmarkStart w:id="33" w:name="_Toc9085"/>
      <w:bookmarkStart w:id="34" w:name="_Toc26986530"/>
      <w:bookmarkStart w:id="35" w:name="_Toc26648465"/>
      <w:r>
        <w:rPr>
          <w:rFonts w:hint="eastAsia"/>
        </w:rPr>
        <w:t>范围</w:t>
      </w:r>
      <w:bookmarkEnd w:id="26"/>
      <w:bookmarkEnd w:id="27"/>
      <w:bookmarkEnd w:id="28"/>
      <w:bookmarkEnd w:id="29"/>
      <w:bookmarkEnd w:id="30"/>
      <w:bookmarkEnd w:id="31"/>
      <w:bookmarkEnd w:id="32"/>
      <w:bookmarkEnd w:id="33"/>
      <w:bookmarkEnd w:id="34"/>
      <w:bookmarkEnd w:id="35"/>
    </w:p>
    <w:p w14:paraId="27B1681A">
      <w:pPr>
        <w:pStyle w:val="57"/>
        <w:ind w:firstLine="420"/>
      </w:pPr>
      <w:bookmarkStart w:id="36" w:name="_Toc24884212"/>
      <w:bookmarkStart w:id="37" w:name="_Toc24884219"/>
      <w:bookmarkStart w:id="38" w:name="_Toc17233326"/>
      <w:bookmarkStart w:id="39" w:name="_Toc26648466"/>
      <w:bookmarkStart w:id="40" w:name="_Toc17233334"/>
      <w:r>
        <w:rPr>
          <w:rFonts w:hint="eastAsia"/>
        </w:rPr>
        <w:t>本文件给出樟子松立木二元生物量模型、相容性生物量模型及其模型参数估计值，各器官含碳系数，</w:t>
      </w:r>
      <w:r>
        <w:rPr>
          <w:rFonts w:hint="eastAsia"/>
          <w:lang w:val="en-US" w:eastAsia="zh-CN"/>
        </w:rPr>
        <w:t>单立木含碳量、</w:t>
      </w:r>
      <w:r>
        <w:rPr>
          <w:rFonts w:hint="eastAsia"/>
        </w:rPr>
        <w:t>标准地樟子松碳密度和林分碳储量的估算方法，以及应用解析。</w:t>
      </w:r>
    </w:p>
    <w:p w14:paraId="5BF38243">
      <w:pPr>
        <w:pStyle w:val="57"/>
        <w:ind w:firstLine="420"/>
      </w:pPr>
      <w:r>
        <w:rPr>
          <w:rFonts w:hint="eastAsia"/>
        </w:rPr>
        <w:t>本文件适用于樟子松立木及林分碳储量的估算。</w:t>
      </w:r>
    </w:p>
    <w:p w14:paraId="27D935DC">
      <w:pPr>
        <w:pStyle w:val="105"/>
        <w:spacing w:before="240" w:after="240"/>
      </w:pPr>
      <w:bookmarkStart w:id="41" w:name="_Toc26718931"/>
      <w:bookmarkStart w:id="42" w:name="_Toc97192965"/>
      <w:bookmarkStart w:id="43" w:name="_Toc26986531"/>
      <w:bookmarkStart w:id="44" w:name="_Toc26986772"/>
      <w:bookmarkStart w:id="45" w:name="_Toc22459"/>
      <w:r>
        <w:rPr>
          <w:rFonts w:hint="eastAsia"/>
        </w:rPr>
        <w:t>规范性引用文件</w:t>
      </w:r>
      <w:bookmarkEnd w:id="36"/>
      <w:bookmarkEnd w:id="37"/>
      <w:bookmarkEnd w:id="38"/>
      <w:bookmarkEnd w:id="39"/>
      <w:bookmarkEnd w:id="40"/>
      <w:bookmarkEnd w:id="41"/>
      <w:bookmarkEnd w:id="42"/>
      <w:bookmarkEnd w:id="43"/>
      <w:bookmarkEnd w:id="44"/>
      <w:bookmarkEnd w:id="45"/>
    </w:p>
    <w:p w14:paraId="52F3F384">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3D1EA70">
      <w:pPr>
        <w:pStyle w:val="57"/>
        <w:ind w:firstLine="420"/>
      </w:pPr>
      <w:r>
        <w:rPr>
          <w:rFonts w:hint="eastAsia"/>
        </w:rPr>
        <w:t>GB/T 26424  森林资源规划设计调查技术规程</w:t>
      </w:r>
    </w:p>
    <w:p w14:paraId="571BC292">
      <w:pPr>
        <w:pStyle w:val="57"/>
        <w:ind w:firstLine="420"/>
      </w:pPr>
      <w:r>
        <w:rPr>
          <w:rFonts w:hint="eastAsia"/>
        </w:rPr>
        <w:t>LY/T 2259  立木生物量建模样本采集技术规程</w:t>
      </w:r>
    </w:p>
    <w:p w14:paraId="5F044CDB">
      <w:pPr>
        <w:pStyle w:val="57"/>
        <w:ind w:firstLine="420"/>
      </w:pPr>
      <w:r>
        <w:rPr>
          <w:rFonts w:hint="eastAsia"/>
        </w:rPr>
        <w:t>LY/T 2988  森林生态系统碳储量计量指南</w:t>
      </w:r>
    </w:p>
    <w:p w14:paraId="43054407">
      <w:pPr>
        <w:pStyle w:val="57"/>
        <w:ind w:firstLine="420"/>
      </w:pPr>
      <w:r>
        <w:rPr>
          <w:rFonts w:hint="eastAsia"/>
        </w:rPr>
        <w:t>DB23/T 2426  森林碳库生物量调查采集技术规程</w:t>
      </w:r>
    </w:p>
    <w:p w14:paraId="3C0F8B8C">
      <w:pPr>
        <w:pStyle w:val="105"/>
        <w:spacing w:before="240" w:after="240"/>
      </w:pPr>
      <w:bookmarkStart w:id="46" w:name="_Toc20429"/>
      <w:bookmarkStart w:id="47" w:name="_Toc97192966"/>
      <w:r>
        <w:rPr>
          <w:rFonts w:hint="eastAsia"/>
          <w:szCs w:val="21"/>
        </w:rPr>
        <w:t>术语和定义</w:t>
      </w:r>
      <w:bookmarkEnd w:id="46"/>
      <w:bookmarkEnd w:id="47"/>
    </w:p>
    <w:p w14:paraId="3B694CE1">
      <w:pPr>
        <w:pStyle w:val="57"/>
        <w:ind w:firstLine="420"/>
      </w:pPr>
      <w:bookmarkStart w:id="48" w:name="_Toc185420742"/>
      <w:bookmarkEnd w:id="48"/>
      <w:bookmarkStart w:id="49" w:name="_Toc185420734"/>
      <w:bookmarkEnd w:id="49"/>
      <w:r>
        <w:rPr>
          <w:rFonts w:hint="eastAsia"/>
        </w:rPr>
        <w:t>下列术语和定义适用于本文件。</w:t>
      </w:r>
    </w:p>
    <w:p w14:paraId="51B73778">
      <w:pPr>
        <w:pStyle w:val="106"/>
        <w:spacing w:before="120" w:after="120"/>
      </w:pPr>
      <w:bookmarkStart w:id="50" w:name="_Toc22822"/>
      <w:r>
        <w:rPr>
          <w:rFonts w:hint="eastAsia"/>
        </w:rPr>
        <w:t>乔木林</w:t>
      </w:r>
      <w:bookmarkEnd w:id="50"/>
    </w:p>
    <w:p w14:paraId="7CD7C75D">
      <w:pPr>
        <w:pStyle w:val="57"/>
        <w:ind w:firstLine="420"/>
      </w:pPr>
      <w:r>
        <w:rPr>
          <w:rFonts w:hint="eastAsia"/>
        </w:rPr>
        <w:t>由乔木（含因人工栽培而矮化的）树种组成、郁闭度0.20以上的片林或林带。其中，乔木林带行数应在2行以上且行距小于或等于4 m或林冠冠幅水平投影宽度在10 m以上。</w:t>
      </w:r>
    </w:p>
    <w:p w14:paraId="7D0833A4">
      <w:pPr>
        <w:pStyle w:val="106"/>
        <w:spacing w:before="120" w:after="120"/>
      </w:pPr>
      <w:bookmarkStart w:id="51" w:name="_Toc6303"/>
      <w:r>
        <w:rPr>
          <w:rFonts w:hint="eastAsia"/>
        </w:rPr>
        <w:t>林分</w:t>
      </w:r>
      <w:bookmarkEnd w:id="51"/>
    </w:p>
    <w:p w14:paraId="3EB21A55">
      <w:pPr>
        <w:pStyle w:val="57"/>
        <w:ind w:firstLine="420"/>
      </w:pPr>
      <w:r>
        <w:rPr>
          <w:rFonts w:hint="eastAsia"/>
        </w:rPr>
        <w:t>树种组成、林层或林相、疏密度、年龄、起源、地位级等主要调查因子相同并与四周有明显区别的有林地。</w:t>
      </w:r>
    </w:p>
    <w:p w14:paraId="01E88A2F">
      <w:pPr>
        <w:pStyle w:val="106"/>
        <w:spacing w:before="120" w:after="120"/>
      </w:pPr>
      <w:bookmarkStart w:id="52" w:name="_Toc14015"/>
      <w:r>
        <w:rPr>
          <w:rFonts w:hint="eastAsia"/>
        </w:rPr>
        <w:t>樟子松</w:t>
      </w:r>
      <w:bookmarkEnd w:id="52"/>
    </w:p>
    <w:p w14:paraId="5109E7F8">
      <w:pPr>
        <w:pStyle w:val="57"/>
        <w:ind w:firstLine="420"/>
      </w:pPr>
      <w:r>
        <w:rPr>
          <w:rFonts w:hint="eastAsia"/>
        </w:rPr>
        <w:t>松科松属常绿乔木，为欧洲赤松的变种，是我国三北地区重要的造林和防护林树种。</w:t>
      </w:r>
    </w:p>
    <w:p w14:paraId="0414E619">
      <w:pPr>
        <w:pStyle w:val="106"/>
        <w:spacing w:before="120" w:after="120"/>
      </w:pPr>
      <w:bookmarkStart w:id="53" w:name="_Toc4490"/>
      <w:r>
        <w:rPr>
          <w:rFonts w:hint="eastAsia"/>
          <w:lang w:val="zh-CN"/>
        </w:rPr>
        <w:t>模型评价指标</w:t>
      </w:r>
      <w:bookmarkEnd w:id="53"/>
    </w:p>
    <w:p w14:paraId="30CBFEC3">
      <w:pPr>
        <w:pStyle w:val="57"/>
        <w:ind w:firstLine="420"/>
      </w:pPr>
      <w:r>
        <w:rPr>
          <w:rFonts w:hint="eastAsia" w:ascii="Times New Roman"/>
          <w:kern w:val="2"/>
          <w:szCs w:val="21"/>
        </w:rPr>
        <w:t>主要包括调整后确定系数（</w:t>
      </w:r>
      <w:r>
        <w:rPr>
          <w:rFonts w:ascii="Times New Roman"/>
          <w:i/>
          <w:kern w:val="2"/>
          <w:szCs w:val="21"/>
        </w:rPr>
        <w:t>R</w:t>
      </w:r>
      <w:r>
        <w:rPr>
          <w:rFonts w:ascii="Times New Roman"/>
          <w:kern w:val="2"/>
          <w:szCs w:val="21"/>
          <w:vertAlign w:val="subscript"/>
        </w:rPr>
        <w:t>a</w:t>
      </w:r>
      <w:r>
        <w:rPr>
          <w:rFonts w:ascii="Times New Roman"/>
          <w:kern w:val="2"/>
          <w:szCs w:val="21"/>
          <w:vertAlign w:val="superscript"/>
        </w:rPr>
        <w:t>2</w:t>
      </w:r>
      <w:r>
        <w:rPr>
          <w:rFonts w:hint="eastAsia" w:ascii="Times New Roman"/>
          <w:kern w:val="2"/>
          <w:szCs w:val="21"/>
        </w:rPr>
        <w:t>）、均方根误差（</w:t>
      </w:r>
      <w:r>
        <w:rPr>
          <w:rFonts w:ascii="Times New Roman"/>
          <w:kern w:val="2"/>
          <w:szCs w:val="21"/>
        </w:rPr>
        <w:t>RMSE</w:t>
      </w:r>
      <w:r>
        <w:rPr>
          <w:rFonts w:hint="eastAsia" w:ascii="Times New Roman"/>
          <w:kern w:val="2"/>
          <w:szCs w:val="21"/>
        </w:rPr>
        <w:t>）、平均预测误差（</w:t>
      </w:r>
      <w:r>
        <w:rPr>
          <w:rFonts w:ascii="Times New Roman"/>
          <w:kern w:val="2"/>
          <w:szCs w:val="21"/>
        </w:rPr>
        <w:t>MPE</w:t>
      </w:r>
      <w:r>
        <w:rPr>
          <w:rFonts w:hint="eastAsia" w:ascii="Times New Roman"/>
          <w:kern w:val="2"/>
          <w:szCs w:val="21"/>
        </w:rPr>
        <w:t>）、平均预测误差百分比（</w:t>
      </w:r>
      <w:r>
        <w:rPr>
          <w:rFonts w:ascii="Times New Roman"/>
          <w:kern w:val="2"/>
          <w:szCs w:val="21"/>
        </w:rPr>
        <w:t>MPE%</w:t>
      </w:r>
      <w:r>
        <w:rPr>
          <w:rFonts w:hint="eastAsia" w:ascii="Times New Roman"/>
          <w:kern w:val="2"/>
          <w:szCs w:val="21"/>
        </w:rPr>
        <w:t>）、平均绝对误差（</w:t>
      </w:r>
      <w:r>
        <w:rPr>
          <w:rFonts w:ascii="Times New Roman"/>
          <w:kern w:val="2"/>
          <w:szCs w:val="21"/>
        </w:rPr>
        <w:t>MAE</w:t>
      </w:r>
      <w:r>
        <w:rPr>
          <w:rFonts w:hint="eastAsia" w:ascii="Times New Roman"/>
          <w:kern w:val="2"/>
          <w:szCs w:val="21"/>
        </w:rPr>
        <w:t>）、平均绝对误差百分比（</w:t>
      </w:r>
      <w:r>
        <w:rPr>
          <w:rFonts w:ascii="Times New Roman"/>
          <w:kern w:val="2"/>
          <w:szCs w:val="21"/>
        </w:rPr>
        <w:t>MAE%</w:t>
      </w:r>
      <w:r>
        <w:rPr>
          <w:rFonts w:hint="eastAsia" w:ascii="Times New Roman"/>
          <w:kern w:val="2"/>
          <w:szCs w:val="21"/>
        </w:rPr>
        <w:t>）和预测精度（</w:t>
      </w:r>
      <w:r>
        <w:rPr>
          <w:rFonts w:ascii="Times New Roman"/>
          <w:kern w:val="2"/>
          <w:szCs w:val="21"/>
        </w:rPr>
        <w:t>P%</w:t>
      </w:r>
      <w:r>
        <w:rPr>
          <w:rFonts w:hint="eastAsia" w:ascii="Times New Roman"/>
          <w:kern w:val="2"/>
          <w:szCs w:val="21"/>
        </w:rPr>
        <w:t>）。具体计算公式为：</w:t>
      </w:r>
    </w:p>
    <w:p w14:paraId="1CF942BA">
      <w:pPr>
        <w:pStyle w:val="57"/>
        <w:ind w:firstLine="0" w:firstLineChars="0"/>
        <w:jc w:val="right"/>
        <w:rPr>
          <w:rFonts w:ascii="Times New Roman"/>
          <w:bCs/>
          <w:kern w:val="44"/>
          <w:szCs w:val="21"/>
        </w:rPr>
      </w:pPr>
      <w:r>
        <w:rPr>
          <w:rFonts w:ascii="Times New Roman"/>
          <w:bCs/>
          <w:kern w:val="44"/>
          <w:szCs w:val="21"/>
        </w:rPr>
        <w:object>
          <v:shape id="_x0000_i1025" o:spt="75" type="#_x0000_t75" style="height:68.4pt;width:157.2pt;" o:ole="t" filled="f" o:preferrelative="t" stroked="f" coordsize="21600,21600">
            <v:path/>
            <v:fill on="f" focussize="0,0"/>
            <v:stroke on="f" joinstyle="miter"/>
            <v:imagedata r:id="rId19" o:title=""/>
            <o:lock v:ext="edit" aspectratio="t"/>
            <w10:wrap type="none"/>
            <w10:anchorlock/>
          </v:shape>
          <o:OLEObject Type="Embed" ProgID="Equation.DSMT4" ShapeID="_x0000_i1025" DrawAspect="Content" ObjectID="_1468075725" r:id="rId18">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1</w:t>
      </w:r>
      <w:r>
        <w:rPr>
          <w:rFonts w:hint="eastAsia" w:ascii="Times New Roman"/>
          <w:bCs/>
          <w:kern w:val="44"/>
          <w:szCs w:val="21"/>
        </w:rPr>
        <w:t>）</w:t>
      </w:r>
    </w:p>
    <w:p w14:paraId="2181A2C7">
      <w:pPr>
        <w:pStyle w:val="57"/>
        <w:ind w:firstLine="0" w:firstLineChars="0"/>
        <w:jc w:val="right"/>
        <w:rPr>
          <w:rFonts w:ascii="Times New Roman"/>
          <w:bCs/>
          <w:kern w:val="44"/>
          <w:szCs w:val="21"/>
        </w:rPr>
      </w:pPr>
      <w:r>
        <w:rPr>
          <w:rFonts w:ascii="Times New Roman"/>
          <w:bCs/>
          <w:kern w:val="44"/>
          <w:szCs w:val="21"/>
        </w:rPr>
        <w:object>
          <v:shape id="_x0000_i1026" o:spt="75" type="#_x0000_t75" style="height:52.2pt;width:99pt;" o:ole="t" filled="f" o:preferrelative="t" stroked="f" coordsize="21600,21600">
            <v:path/>
            <v:fill on="f" focussize="0,0"/>
            <v:stroke on="f" joinstyle="miter"/>
            <v:imagedata r:id="rId21" o:title=""/>
            <o:lock v:ext="edit" aspectratio="t"/>
            <w10:wrap type="none"/>
            <w10:anchorlock/>
          </v:shape>
          <o:OLEObject Type="Embed" ProgID="Equation.DSMT4" ShapeID="_x0000_i1026" DrawAspect="Content" ObjectID="_1468075726" r:id="rId20">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2</w:t>
      </w:r>
      <w:r>
        <w:rPr>
          <w:rFonts w:hint="eastAsia" w:ascii="Times New Roman"/>
          <w:bCs/>
          <w:kern w:val="44"/>
          <w:szCs w:val="21"/>
        </w:rPr>
        <w:t>）</w:t>
      </w:r>
    </w:p>
    <w:p w14:paraId="054E7188">
      <w:pPr>
        <w:pStyle w:val="57"/>
        <w:ind w:firstLine="0" w:firstLineChars="0"/>
        <w:jc w:val="right"/>
        <w:rPr>
          <w:rFonts w:ascii="Times New Roman"/>
          <w:bCs/>
          <w:kern w:val="44"/>
          <w:szCs w:val="21"/>
        </w:rPr>
      </w:pPr>
    </w:p>
    <w:p w14:paraId="2D661B97">
      <w:pPr>
        <w:pStyle w:val="57"/>
        <w:ind w:firstLine="420"/>
      </w:pPr>
    </w:p>
    <w:p w14:paraId="413D37A3">
      <w:pPr>
        <w:pStyle w:val="57"/>
        <w:ind w:firstLine="420"/>
        <w:jc w:val="right"/>
        <w:rPr>
          <w:rFonts w:ascii="Times New Roman"/>
          <w:bCs/>
          <w:kern w:val="44"/>
          <w:szCs w:val="21"/>
        </w:rPr>
      </w:pPr>
      <w:r>
        <w:rPr>
          <w:rFonts w:ascii="Times New Roman"/>
          <w:bCs/>
          <w:kern w:val="44"/>
          <w:szCs w:val="21"/>
        </w:rPr>
        <w:object>
          <v:shape id="_x0000_i1027" o:spt="75" type="#_x0000_t75" style="height:48pt;width:100.2pt;" o:ole="t" filled="f" o:preferrelative="t" stroked="f" coordsize="21600,21600">
            <v:path/>
            <v:fill on="f" focussize="0,0"/>
            <v:stroke on="f" joinstyle="miter"/>
            <v:imagedata r:id="rId23" o:title=""/>
            <o:lock v:ext="edit" aspectratio="t"/>
            <w10:wrap type="none"/>
            <w10:anchorlock/>
          </v:shape>
          <o:OLEObject Type="Embed" ProgID="Equation.DSMT4" ShapeID="_x0000_i1027" DrawAspect="Content" ObjectID="_1468075727" r:id="rId22">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3</w:t>
      </w:r>
      <w:r>
        <w:rPr>
          <w:rFonts w:hint="eastAsia" w:ascii="Times New Roman"/>
          <w:bCs/>
          <w:kern w:val="44"/>
          <w:szCs w:val="21"/>
        </w:rPr>
        <w:t>）</w:t>
      </w:r>
    </w:p>
    <w:p w14:paraId="648C4280">
      <w:pPr>
        <w:pStyle w:val="57"/>
        <w:ind w:firstLine="420"/>
        <w:jc w:val="right"/>
        <w:rPr>
          <w:rFonts w:ascii="Times New Roman"/>
          <w:bCs/>
          <w:kern w:val="44"/>
          <w:szCs w:val="21"/>
        </w:rPr>
      </w:pPr>
    </w:p>
    <w:p w14:paraId="73E023FB">
      <w:pPr>
        <w:pStyle w:val="57"/>
        <w:ind w:firstLine="420"/>
        <w:jc w:val="right"/>
        <w:rPr>
          <w:rFonts w:ascii="Times New Roman"/>
          <w:bCs/>
          <w:kern w:val="44"/>
          <w:szCs w:val="21"/>
        </w:rPr>
      </w:pPr>
      <w:r>
        <w:rPr>
          <w:rFonts w:ascii="Times New Roman"/>
          <w:bCs/>
          <w:kern w:val="44"/>
          <w:szCs w:val="21"/>
        </w:rPr>
        <w:object>
          <v:shape id="_x0000_i1028" o:spt="75" type="#_x0000_t75" style="height:55.2pt;width:138pt;" o:ole="t" filled="f" o:preferrelative="t" stroked="f" coordsize="21600,21600">
            <v:path/>
            <v:fill on="f" focussize="0,0"/>
            <v:stroke on="f" joinstyle="miter"/>
            <v:imagedata r:id="rId25" o:title=""/>
            <o:lock v:ext="edit" aspectratio="t"/>
            <w10:wrap type="none"/>
            <w10:anchorlock/>
          </v:shape>
          <o:OLEObject Type="Embed" ProgID="Equation.DSMT4" ShapeID="_x0000_i1028" DrawAspect="Content" ObjectID="_1468075728" r:id="rId24">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4</w:t>
      </w:r>
      <w:r>
        <w:rPr>
          <w:rFonts w:hint="eastAsia" w:ascii="Times New Roman"/>
          <w:bCs/>
          <w:kern w:val="44"/>
          <w:szCs w:val="21"/>
        </w:rPr>
        <w:t>）</w:t>
      </w:r>
    </w:p>
    <w:p w14:paraId="78D13B35">
      <w:pPr>
        <w:pStyle w:val="57"/>
        <w:ind w:firstLine="420"/>
        <w:jc w:val="right"/>
        <w:rPr>
          <w:rFonts w:ascii="Times New Roman"/>
          <w:bCs/>
          <w:kern w:val="44"/>
          <w:szCs w:val="21"/>
        </w:rPr>
      </w:pPr>
    </w:p>
    <w:p w14:paraId="0DD9572B">
      <w:pPr>
        <w:pStyle w:val="57"/>
        <w:ind w:firstLine="420"/>
        <w:jc w:val="right"/>
        <w:rPr>
          <w:rFonts w:ascii="Times New Roman"/>
          <w:bCs/>
          <w:kern w:val="44"/>
          <w:szCs w:val="21"/>
        </w:rPr>
      </w:pPr>
      <w:r>
        <w:rPr>
          <w:rFonts w:ascii="Times New Roman"/>
          <w:bCs/>
          <w:kern w:val="44"/>
          <w:szCs w:val="21"/>
        </w:rPr>
        <w:object>
          <v:shape id="_x0000_i1029" o:spt="75" type="#_x0000_t75" style="height:48pt;width:96.6pt;" o:ole="t" filled="f" o:preferrelative="t" stroked="f" coordsize="21600,21600">
            <v:path/>
            <v:fill on="f" focussize="0,0"/>
            <v:stroke on="f" joinstyle="miter"/>
            <v:imagedata r:id="rId27" o:title=""/>
            <o:lock v:ext="edit" aspectratio="t"/>
            <w10:wrap type="none"/>
            <w10:anchorlock/>
          </v:shape>
          <o:OLEObject Type="Embed" ProgID="Equation.DSMT4" ShapeID="_x0000_i1029" DrawAspect="Content" ObjectID="_1468075729" r:id="rId26">
            <o:LockedField>false</o:LockedField>
          </o:OLEObject>
        </w:object>
      </w:r>
      <w:r>
        <w:rPr>
          <w:rFonts w:ascii="Times New Roman"/>
          <w:bCs/>
          <w:kern w:val="44"/>
          <w:szCs w:val="21"/>
        </w:rPr>
        <w:t>…………………………………</w:t>
      </w:r>
      <w:r>
        <w:rPr>
          <w:rFonts w:hint="eastAsia" w:ascii="Times New Roman"/>
          <w:bCs/>
          <w:kern w:val="44"/>
          <w:szCs w:val="21"/>
        </w:rPr>
        <w:t>（</w:t>
      </w:r>
      <w:r>
        <w:rPr>
          <w:rFonts w:ascii="Times New Roman"/>
          <w:bCs/>
          <w:kern w:val="44"/>
          <w:szCs w:val="21"/>
        </w:rPr>
        <w:t>5</w:t>
      </w:r>
      <w:r>
        <w:rPr>
          <w:rFonts w:hint="eastAsia" w:ascii="Times New Roman"/>
          <w:bCs/>
          <w:kern w:val="44"/>
          <w:szCs w:val="21"/>
        </w:rPr>
        <w:t>）</w:t>
      </w:r>
    </w:p>
    <w:p w14:paraId="65F1CA49">
      <w:pPr>
        <w:pStyle w:val="57"/>
        <w:ind w:firstLine="420"/>
        <w:jc w:val="right"/>
        <w:rPr>
          <w:rFonts w:ascii="Times New Roman"/>
          <w:bCs/>
          <w:kern w:val="44"/>
          <w:szCs w:val="21"/>
        </w:rPr>
      </w:pPr>
    </w:p>
    <w:p w14:paraId="07EA3F2B">
      <w:pPr>
        <w:pStyle w:val="57"/>
        <w:ind w:firstLine="420"/>
        <w:jc w:val="right"/>
        <w:rPr>
          <w:rFonts w:ascii="Times New Roman"/>
          <w:bCs/>
          <w:kern w:val="44"/>
          <w:szCs w:val="21"/>
        </w:rPr>
      </w:pPr>
      <w:r>
        <w:rPr>
          <w:rFonts w:ascii="Times New Roman"/>
          <w:bCs/>
          <w:kern w:val="44"/>
          <w:szCs w:val="21"/>
        </w:rPr>
        <w:object>
          <v:shape id="_x0000_i1030" o:spt="75" type="#_x0000_t75" style="height:63pt;width:145.8pt;" o:ole="t" filled="f" o:preferrelative="t" stroked="f" coordsize="21600,21600">
            <v:path/>
            <v:fill on="f" focussize="0,0"/>
            <v:stroke on="f" joinstyle="miter"/>
            <v:imagedata r:id="rId29" o:title=""/>
            <o:lock v:ext="edit" aspectratio="t"/>
            <w10:wrap type="none"/>
            <w10:anchorlock/>
          </v:shape>
          <o:OLEObject Type="Embed" ProgID="Equation.DSMT4" ShapeID="_x0000_i1030" DrawAspect="Content" ObjectID="_1468075730" r:id="rId28">
            <o:LockedField>false</o:LockedField>
          </o:OLEObject>
        </w:object>
      </w:r>
      <w:r>
        <w:rPr>
          <w:rFonts w:ascii="Times New Roman"/>
          <w:bCs/>
          <w:kern w:val="44"/>
          <w:szCs w:val="21"/>
        </w:rPr>
        <w:tab/>
      </w:r>
      <w:r>
        <w:rPr>
          <w:rFonts w:ascii="Times New Roman"/>
          <w:bCs/>
          <w:kern w:val="44"/>
          <w:szCs w:val="21"/>
        </w:rPr>
        <w:t>……………………………</w:t>
      </w:r>
      <w:r>
        <w:rPr>
          <w:rFonts w:hint="eastAsia" w:ascii="Times New Roman"/>
          <w:bCs/>
          <w:kern w:val="44"/>
          <w:szCs w:val="21"/>
        </w:rPr>
        <w:t>（</w:t>
      </w:r>
      <w:r>
        <w:rPr>
          <w:rFonts w:ascii="Times New Roman"/>
          <w:bCs/>
          <w:kern w:val="44"/>
          <w:szCs w:val="21"/>
        </w:rPr>
        <w:t>6</w:t>
      </w:r>
      <w:r>
        <w:rPr>
          <w:rFonts w:hint="eastAsia" w:ascii="Times New Roman"/>
          <w:bCs/>
          <w:kern w:val="44"/>
          <w:szCs w:val="21"/>
        </w:rPr>
        <w:t>）</w:t>
      </w:r>
    </w:p>
    <w:p w14:paraId="408616A2">
      <w:pPr>
        <w:pStyle w:val="57"/>
        <w:ind w:firstLine="420"/>
        <w:jc w:val="right"/>
        <w:rPr>
          <w:rFonts w:ascii="Times New Roman"/>
          <w:bCs/>
          <w:kern w:val="44"/>
          <w:szCs w:val="21"/>
        </w:rPr>
      </w:pPr>
    </w:p>
    <w:p w14:paraId="731F1FA9">
      <w:pPr>
        <w:pStyle w:val="57"/>
        <w:ind w:firstLine="420"/>
        <w:jc w:val="right"/>
        <w:rPr>
          <w:rFonts w:ascii="Times New Roman"/>
          <w:bCs/>
          <w:kern w:val="44"/>
          <w:szCs w:val="21"/>
        </w:rPr>
      </w:pPr>
      <w:r>
        <w:rPr>
          <w:rFonts w:ascii="Times New Roman"/>
          <w:bCs/>
          <w:kern w:val="44"/>
          <w:szCs w:val="21"/>
        </w:rPr>
        <w:object>
          <v:shape id="_x0000_i1031" o:spt="75" type="#_x0000_t75" style="height:63pt;width:146.4pt;" o:ole="t" filled="f" o:preferrelative="t" stroked="f" coordsize="21600,21600">
            <v:path/>
            <v:fill on="f" focussize="0,0"/>
            <v:stroke on="f" joinstyle="miter"/>
            <v:imagedata r:id="rId31" o:title=""/>
            <o:lock v:ext="edit" aspectratio="t"/>
            <w10:wrap type="none"/>
            <w10:anchorlock/>
          </v:shape>
          <o:OLEObject Type="Embed" ProgID="Equation.DSMT4" ShapeID="_x0000_i1031" DrawAspect="Content" ObjectID="_1468075731" r:id="rId30">
            <o:LockedField>false</o:LockedField>
          </o:OLEObject>
        </w:object>
      </w:r>
      <w:r>
        <w:rPr>
          <w:rFonts w:ascii="Times New Roman"/>
          <w:bCs/>
          <w:kern w:val="44"/>
          <w:szCs w:val="21"/>
        </w:rPr>
        <w:tab/>
      </w:r>
      <w:r>
        <w:rPr>
          <w:rFonts w:ascii="Times New Roman"/>
          <w:bCs/>
          <w:kern w:val="44"/>
          <w:szCs w:val="21"/>
        </w:rPr>
        <w:t>……………………………</w:t>
      </w:r>
      <w:r>
        <w:rPr>
          <w:rFonts w:hint="eastAsia" w:ascii="Times New Roman"/>
          <w:bCs/>
          <w:kern w:val="44"/>
          <w:szCs w:val="21"/>
        </w:rPr>
        <w:t>（</w:t>
      </w:r>
      <w:r>
        <w:rPr>
          <w:rFonts w:ascii="Times New Roman"/>
          <w:bCs/>
          <w:kern w:val="44"/>
          <w:szCs w:val="21"/>
        </w:rPr>
        <w:t>7</w:t>
      </w:r>
      <w:r>
        <w:rPr>
          <w:rFonts w:hint="eastAsia" w:ascii="Times New Roman"/>
          <w:bCs/>
          <w:kern w:val="44"/>
          <w:szCs w:val="21"/>
        </w:rPr>
        <w:t>）</w:t>
      </w:r>
    </w:p>
    <w:p w14:paraId="0C0E9C4B">
      <w:pPr>
        <w:ind w:firstLine="420" w:firstLineChars="200"/>
        <w:rPr>
          <w:rFonts w:ascii="Times New Roman" w:hAnsi="Times New Roman"/>
        </w:rPr>
      </w:pPr>
      <w:r>
        <w:rPr>
          <w:rFonts w:hint="eastAsia" w:ascii="Times New Roman" w:hAnsi="Times New Roman"/>
        </w:rPr>
        <w:t>式中：</w:t>
      </w:r>
    </w:p>
    <w:p w14:paraId="278EB380">
      <w:pPr>
        <w:spacing w:line="240" w:lineRule="auto"/>
        <w:ind w:firstLine="420" w:firstLineChars="200"/>
        <w:rPr>
          <w:rFonts w:ascii="Times New Roman" w:hAnsi="Times New Roman"/>
        </w:rPr>
      </w:pPr>
      <w:r>
        <w:rPr>
          <w:rFonts w:ascii="Times New Roman" w:hAnsi="Times New Roman"/>
        </w:rPr>
        <w:t>N</w:t>
      </w:r>
      <w:r>
        <w:rPr>
          <w:rFonts w:ascii="Times New Roman" w:hAnsi="Times New Roman" w:eastAsia="仿宋"/>
        </w:rPr>
        <w:t>——</w:t>
      </w:r>
      <w:r>
        <w:rPr>
          <w:rFonts w:hint="eastAsia" w:ascii="Times New Roman" w:hAnsi="Times New Roman"/>
        </w:rPr>
        <w:t>样本总数；</w:t>
      </w:r>
    </w:p>
    <w:p w14:paraId="28890F91">
      <w:pPr>
        <w:spacing w:line="240" w:lineRule="auto"/>
        <w:ind w:firstLine="420" w:firstLineChars="200"/>
        <w:rPr>
          <w:rFonts w:ascii="Times New Roman" w:hAnsi="Times New Roman"/>
        </w:rPr>
      </w:pPr>
      <w:r>
        <w:rPr>
          <w:rFonts w:ascii="Times New Roman" w:hAnsi="Times New Roman"/>
          <w:position w:val="-12"/>
          <w:szCs w:val="24"/>
          <w:lang w:val="zh-CN"/>
        </w:rPr>
        <w:object>
          <v:shape id="_x0000_i1032" o:spt="75" type="#_x0000_t75" style="height:18pt;width:11.4pt;" o:ole="t" filled="f" o:preferrelative="t" stroked="f" coordsize="21600,21600">
            <v:path/>
            <v:fill on="f" focussize="0,0"/>
            <v:stroke on="f" joinstyle="miter"/>
            <v:imagedata r:id="rId33" o:title=""/>
            <o:lock v:ext="edit" aspectratio="t"/>
            <w10:wrap type="none"/>
            <w10:anchorlock/>
          </v:shape>
          <o:OLEObject Type="Embed" ProgID="Equation.DSMT4" ShapeID="_x0000_i1032" DrawAspect="Content" ObjectID="_1468075732" r:id="rId32">
            <o:LockedField>false</o:LockedField>
          </o:OLEObject>
        </w:object>
      </w:r>
      <w:r>
        <w:rPr>
          <w:rFonts w:ascii="Times New Roman" w:hAnsi="Times New Roman" w:eastAsia="仿宋"/>
        </w:rPr>
        <w:t>——</w:t>
      </w:r>
      <w:r>
        <w:rPr>
          <w:rFonts w:hint="eastAsia" w:ascii="Times New Roman" w:hAnsi="Times New Roman"/>
        </w:rPr>
        <w:t>第</w:t>
      </w:r>
      <w:r>
        <w:rPr>
          <w:rFonts w:ascii="Times New Roman" w:hAnsi="Times New Roman"/>
        </w:rPr>
        <w:t>i</w:t>
      </w:r>
      <w:r>
        <w:rPr>
          <w:rFonts w:hint="eastAsia" w:ascii="Times New Roman" w:hAnsi="Times New Roman"/>
        </w:rPr>
        <w:t>个观测值；</w:t>
      </w:r>
    </w:p>
    <w:p w14:paraId="2D26EDE4">
      <w:pPr>
        <w:spacing w:line="240" w:lineRule="auto"/>
        <w:ind w:firstLine="420" w:firstLineChars="200"/>
        <w:rPr>
          <w:rFonts w:ascii="Times New Roman" w:hAnsi="Times New Roman"/>
        </w:rPr>
      </w:pPr>
      <w:r>
        <w:rPr>
          <w:rFonts w:ascii="Times New Roman" w:hAnsi="Times New Roman"/>
          <w:position w:val="-12"/>
          <w:szCs w:val="24"/>
          <w:lang w:val="zh-CN"/>
        </w:rPr>
        <w:object>
          <v:shape id="_x0000_i1033" o:spt="75" type="#_x0000_t75" style="height:20.4pt;width:11.4pt;" o:ole="t" filled="f" o:preferrelative="t" stroked="f" coordsize="21600,21600">
            <v:path/>
            <v:fill on="f" focussize="0,0"/>
            <v:stroke on="f" joinstyle="miter"/>
            <v:imagedata r:id="rId35" o:title=""/>
            <o:lock v:ext="edit" aspectratio="t"/>
            <w10:wrap type="none"/>
            <w10:anchorlock/>
          </v:shape>
          <o:OLEObject Type="Embed" ProgID="Equation.DSMT4" ShapeID="_x0000_i1033" DrawAspect="Content" ObjectID="_1468075733" r:id="rId34">
            <o:LockedField>false</o:LockedField>
          </o:OLEObject>
        </w:object>
      </w:r>
      <w:r>
        <w:rPr>
          <w:rFonts w:ascii="Times New Roman" w:hAnsi="Times New Roman" w:eastAsia="仿宋"/>
        </w:rPr>
        <w:t>——</w:t>
      </w:r>
      <w:r>
        <w:rPr>
          <w:rFonts w:hint="eastAsia" w:ascii="Times New Roman" w:hAnsi="Times New Roman"/>
        </w:rPr>
        <w:t>全部数据拟合回归方程计算的</w:t>
      </w:r>
      <w:r>
        <w:rPr>
          <w:rFonts w:ascii="Times New Roman" w:hAnsi="Times New Roman"/>
          <w:position w:val="-12"/>
          <w:szCs w:val="24"/>
          <w:lang w:val="zh-CN"/>
        </w:rPr>
        <w:object>
          <v:shape id="_x0000_i1034" o:spt="75" type="#_x0000_t75" style="height:18pt;width:11.4pt;" o:ole="t" filled="f" o:preferrelative="t" stroked="f" coordsize="21600,21600">
            <v:path/>
            <v:fill on="f" focussize="0,0"/>
            <v:stroke on="f" joinstyle="miter"/>
            <v:imagedata r:id="rId33" o:title=""/>
            <o:lock v:ext="edit" aspectratio="t"/>
            <w10:wrap type="none"/>
            <w10:anchorlock/>
          </v:shape>
          <o:OLEObject Type="Embed" ProgID="Equation.DSMT4" ShapeID="_x0000_i1034" DrawAspect="Content" ObjectID="_1468075734" r:id="rId36">
            <o:LockedField>false</o:LockedField>
          </o:OLEObject>
        </w:object>
      </w:r>
      <w:r>
        <w:rPr>
          <w:rFonts w:hint="eastAsia" w:ascii="Times New Roman" w:hAnsi="Times New Roman"/>
        </w:rPr>
        <w:t>的预测值；</w:t>
      </w:r>
    </w:p>
    <w:p w14:paraId="498110DB">
      <w:pPr>
        <w:spacing w:line="240" w:lineRule="auto"/>
        <w:ind w:firstLine="420" w:firstLineChars="200"/>
        <w:rPr>
          <w:rFonts w:ascii="Times New Roman" w:hAnsi="Times New Roman"/>
        </w:rPr>
      </w:pPr>
      <w:r>
        <w:rPr>
          <w:rFonts w:ascii="Times New Roman" w:hAnsi="Times New Roman"/>
          <w:position w:val="-12"/>
          <w:szCs w:val="24"/>
          <w:lang w:val="zh-CN"/>
        </w:rPr>
        <w:object>
          <v:shape id="_x0000_i1035" o:spt="75" type="#_x0000_t75" style="height:18.6pt;width:12pt;" o:ole="t" filled="f" o:preferrelative="t" stroked="f" coordsize="21600,21600">
            <v:path/>
            <v:fill on="f" focussize="0,0"/>
            <v:stroke on="f" joinstyle="miter"/>
            <v:imagedata r:id="rId38" o:title=""/>
            <o:lock v:ext="edit" aspectratio="t"/>
            <w10:wrap type="none"/>
            <w10:anchorlock/>
          </v:shape>
          <o:OLEObject Type="Embed" ProgID="Equation.DSMT4" ShapeID="_x0000_i1035" DrawAspect="Content" ObjectID="_1468075735" r:id="rId37">
            <o:LockedField>false</o:LockedField>
          </o:OLEObject>
        </w:object>
      </w:r>
      <w:r>
        <w:rPr>
          <w:rFonts w:ascii="Times New Roman" w:hAnsi="Times New Roman" w:eastAsia="仿宋"/>
        </w:rPr>
        <w:t>——</w:t>
      </w:r>
      <w:r>
        <w:rPr>
          <w:rFonts w:hint="eastAsia" w:ascii="Times New Roman" w:hAnsi="Times New Roman"/>
        </w:rPr>
        <w:t>观测值的平均值；</w:t>
      </w:r>
    </w:p>
    <w:p w14:paraId="777070E8">
      <w:pPr>
        <w:spacing w:line="240" w:lineRule="auto"/>
        <w:ind w:firstLine="420" w:firstLineChars="200"/>
        <w:rPr>
          <w:rFonts w:ascii="Times New Roman" w:hAnsi="Times New Roman"/>
          <w:szCs w:val="24"/>
        </w:rPr>
      </w:pPr>
      <w:r>
        <w:rPr>
          <w:rFonts w:ascii="Times New Roman" w:hAnsi="Times New Roman"/>
          <w:position w:val="-12"/>
          <w:szCs w:val="24"/>
          <w:lang w:val="zh-CN"/>
        </w:rPr>
        <w:object>
          <v:shape id="_x0000_i1036" o:spt="75" type="#_x0000_t75" style="height:20.4pt;width:16.8pt;" o:ole="t" filled="f" o:preferrelative="t" stroked="f" coordsize="21600,21600">
            <v:path/>
            <v:fill on="f" focussize="0,0"/>
            <v:stroke on="f" joinstyle="miter"/>
            <v:imagedata r:id="rId40" o:title=""/>
            <o:lock v:ext="edit" aspectratio="t"/>
            <w10:wrap type="none"/>
            <w10:anchorlock/>
          </v:shape>
          <o:OLEObject Type="Embed" ProgID="Equation.DSMT4" ShapeID="_x0000_i1036" DrawAspect="Content" ObjectID="_1468075736" r:id="rId39">
            <o:LockedField>false</o:LockedField>
          </o:OLEObject>
        </w:object>
      </w:r>
      <w:r>
        <w:rPr>
          <w:rFonts w:ascii="Times New Roman" w:hAnsi="Times New Roman" w:eastAsia="仿宋"/>
        </w:rPr>
        <w:t>——</w:t>
      </w:r>
      <w:r>
        <w:rPr>
          <w:rFonts w:hint="eastAsia" w:ascii="Times New Roman" w:hAnsi="Times New Roman"/>
        </w:rPr>
        <w:t>原始数据中删除第</w:t>
      </w:r>
      <w:r>
        <w:rPr>
          <w:rFonts w:ascii="Times New Roman" w:hAnsi="Times New Roman"/>
        </w:rPr>
        <w:t>i</w:t>
      </w:r>
      <w:r>
        <w:rPr>
          <w:rFonts w:hint="eastAsia" w:ascii="Times New Roman" w:hAnsi="Times New Roman"/>
        </w:rPr>
        <w:t>个样本观测值后，按</w:t>
      </w:r>
      <w:r>
        <w:rPr>
          <w:rFonts w:ascii="Times New Roman" w:hAnsi="Times New Roman"/>
        </w:rPr>
        <w:t>p</w:t>
      </w:r>
      <w:r>
        <w:rPr>
          <w:rFonts w:hint="eastAsia" w:ascii="Times New Roman" w:hAnsi="Times New Roman"/>
        </w:rPr>
        <w:t>个参数模型拟合回归方程计算</w:t>
      </w:r>
      <w:r>
        <w:rPr>
          <w:rFonts w:ascii="Times New Roman" w:hAnsi="Times New Roman"/>
          <w:position w:val="-12"/>
          <w:szCs w:val="24"/>
          <w:lang w:val="zh-CN"/>
        </w:rPr>
        <w:object>
          <v:shape id="_x0000_i1037" o:spt="75" type="#_x0000_t75" style="height:18pt;width:11.4pt;" o:ole="t" filled="f" o:preferrelative="t" stroked="f" coordsize="21600,21600">
            <v:path/>
            <v:fill on="f" focussize="0,0"/>
            <v:stroke on="f" joinstyle="miter"/>
            <v:imagedata r:id="rId33" o:title=""/>
            <o:lock v:ext="edit" aspectratio="t"/>
            <w10:wrap type="none"/>
            <w10:anchorlock/>
          </v:shape>
          <o:OLEObject Type="Embed" ProgID="Equation.DSMT4" ShapeID="_x0000_i1037" DrawAspect="Content" ObjectID="_1468075737" r:id="rId41">
            <o:LockedField>false</o:LockedField>
          </o:OLEObject>
        </w:object>
      </w:r>
      <w:r>
        <w:rPr>
          <w:rFonts w:hint="eastAsia" w:ascii="Times New Roman" w:hAnsi="Times New Roman"/>
        </w:rPr>
        <w:t>的预测</w:t>
      </w:r>
      <w:r>
        <w:rPr>
          <w:rFonts w:hint="eastAsia" w:ascii="Times New Roman" w:hAnsi="Times New Roman"/>
          <w:szCs w:val="24"/>
        </w:rPr>
        <w:t>值；</w:t>
      </w:r>
    </w:p>
    <w:p w14:paraId="2FA85BD5">
      <w:pPr>
        <w:spacing w:line="240" w:lineRule="auto"/>
        <w:ind w:left="420" w:leftChars="200"/>
        <w:rPr>
          <w:rFonts w:ascii="Times New Roman" w:hAnsi="Times New Roman"/>
        </w:rPr>
      </w:pPr>
      <w:r>
        <w:rPr>
          <w:rFonts w:ascii="Times New Roman" w:hAnsi="Times New Roman"/>
          <w:position w:val="-12"/>
          <w:szCs w:val="24"/>
          <w:lang w:val="zh-CN"/>
        </w:rPr>
        <w:object>
          <v:shape id="_x0000_i1038" o:spt="75" type="#_x0000_t75" style="height:18pt;width:12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2">
            <o:LockedField>false</o:LockedField>
          </o:OLEObject>
        </w:object>
      </w:r>
      <w:r>
        <w:rPr>
          <w:rFonts w:ascii="Times New Roman" w:hAnsi="Times New Roman" w:eastAsia="仿宋"/>
        </w:rPr>
        <w:t>——</w:t>
      </w:r>
      <w:r>
        <w:rPr>
          <w:rFonts w:hint="eastAsia" w:ascii="Times New Roman" w:hAnsi="Times New Roman"/>
        </w:rPr>
        <w:t>置信水平</w:t>
      </w:r>
      <w:r>
        <w:rPr>
          <w:rFonts w:ascii="Times New Roman" w:hAnsi="Times New Roman"/>
          <w:position w:val="-6"/>
          <w:szCs w:val="24"/>
          <w:lang w:val="zh-CN"/>
        </w:rPr>
        <w:object>
          <v:shape id="_x0000_i1039" o:spt="75" type="#_x0000_t75" style="height:11.4pt;width:12pt;" o:ole="t" filled="f" o:preferrelative="t" stroked="f" coordsize="21600,21600">
            <v:path/>
            <v:fill on="f" focussize="0,0"/>
            <v:stroke on="f" joinstyle="miter"/>
            <v:imagedata r:id="rId45" o:title=""/>
            <o:lock v:ext="edit" aspectratio="t"/>
            <w10:wrap type="none"/>
            <w10:anchorlock/>
          </v:shape>
          <o:OLEObject Type="Embed" ProgID="Equation.DSMT4" ShapeID="_x0000_i1039" DrawAspect="Content" ObjectID="_1468075739" r:id="rId44">
            <o:LockedField>false</o:LockedField>
          </o:OLEObject>
        </w:object>
      </w:r>
      <w:r>
        <w:rPr>
          <w:rFonts w:ascii="Times New Roman" w:hAnsi="Times New Roman"/>
        </w:rPr>
        <w:t>(</w:t>
      </w:r>
      <w:r>
        <w:rPr>
          <w:rFonts w:ascii="Times New Roman" w:hAnsi="Times New Roman"/>
          <w:position w:val="-6"/>
          <w:szCs w:val="24"/>
          <w:lang w:val="zh-CN"/>
        </w:rPr>
        <w:object>
          <v:shape id="_x0000_i1040" o:spt="75" type="#_x0000_t75" style="height:14.4pt;width:44.4pt;" o:ole="t" filled="f" o:preferrelative="t" stroked="f" coordsize="21600,21600">
            <v:path/>
            <v:fill on="f" focussize="0,0"/>
            <v:stroke on="f" joinstyle="miter"/>
            <v:imagedata r:id="rId47" o:title=""/>
            <o:lock v:ext="edit" aspectratio="t"/>
            <w10:wrap type="none"/>
            <w10:anchorlock/>
          </v:shape>
          <o:OLEObject Type="Embed" ProgID="Equation.DSMT4" ShapeID="_x0000_i1040" DrawAspect="Content" ObjectID="_1468075740" r:id="rId46">
            <o:LockedField>false</o:LockedField>
          </o:OLEObject>
        </w:object>
      </w:r>
      <w:r>
        <w:rPr>
          <w:rFonts w:ascii="Times New Roman" w:hAnsi="Times New Roman"/>
        </w:rPr>
        <w:t>)</w:t>
      </w:r>
      <w:r>
        <w:rPr>
          <w:rFonts w:hint="eastAsia" w:ascii="Times New Roman" w:hAnsi="Times New Roman"/>
        </w:rPr>
        <w:t>时的</w:t>
      </w:r>
      <w:r>
        <w:rPr>
          <w:rFonts w:ascii="Times New Roman" w:hAnsi="Times New Roman"/>
        </w:rPr>
        <w:t>t</w:t>
      </w:r>
      <w:r>
        <w:rPr>
          <w:rFonts w:hint="eastAsia" w:ascii="Times New Roman" w:hAnsi="Times New Roman"/>
        </w:rPr>
        <w:t>值。</w:t>
      </w:r>
    </w:p>
    <w:p w14:paraId="68D7D56A">
      <w:pPr>
        <w:pStyle w:val="105"/>
        <w:spacing w:before="240" w:after="240"/>
      </w:pPr>
      <w:bookmarkStart w:id="54" w:name="_Toc29445"/>
      <w:r>
        <w:rPr>
          <w:rFonts w:hint="eastAsia"/>
        </w:rPr>
        <w:t>立木含碳量计算</w:t>
      </w:r>
      <w:bookmarkEnd w:id="54"/>
    </w:p>
    <w:p w14:paraId="3B2337F2">
      <w:pPr>
        <w:pStyle w:val="106"/>
        <w:spacing w:before="120" w:after="120"/>
      </w:pPr>
      <w:bookmarkStart w:id="55" w:name="_Toc31596"/>
      <w:r>
        <w:rPr>
          <w:rFonts w:hint="eastAsia"/>
        </w:rPr>
        <w:t>二元生物量模型</w:t>
      </w:r>
      <w:bookmarkEnd w:id="55"/>
    </w:p>
    <w:p w14:paraId="51262318">
      <w:pPr>
        <w:jc w:val="right"/>
        <w:rPr>
          <w:rFonts w:ascii="Times New Roman" w:hAnsi="Times New Roman"/>
          <w:bCs/>
          <w:kern w:val="44"/>
        </w:rPr>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A</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hint="eastAsia" w:ascii="Cambria Math" w:hAnsi="Cambria Math"/>
              </w:rPr>
              <m:t>a</m:t>
            </m:r>
            <m:ctrlPr>
              <w:rPr>
                <w:rFonts w:ascii="Cambria Math" w:hAnsi="Cambria Math"/>
                <w:i/>
              </w:rPr>
            </m:ctrlPr>
          </m:e>
          <m:sub>
            <m:r>
              <m:rPr/>
              <w:rPr>
                <w:rFonts w:ascii="Cambria Math" w:hAnsi="Cambria Math"/>
              </w:rPr>
              <m:t>0</m:t>
            </m:r>
            <m:ctrlPr>
              <w:rPr>
                <w:rFonts w:ascii="Cambria Math" w:hAnsi="Cambria Math"/>
                <w:i/>
              </w:rPr>
            </m:ctrlPr>
          </m:sub>
        </m:sSub>
        <m:sSup>
          <m:sSupPr>
            <m:ctrlPr>
              <w:rPr>
                <w:rFonts w:ascii="Cambria Math" w:hAnsi="Cambria Math"/>
                <w:i/>
              </w:rPr>
            </m:ctrlPr>
          </m:sSupPr>
          <m:e>
            <m:r>
              <m:rPr/>
              <w:rPr>
                <w:rFonts w:ascii="Cambria Math" w:hAnsi="Cambria Math"/>
              </w:rPr>
              <m:t>D</m:t>
            </m:r>
            <m:ctrlPr>
              <w:rPr>
                <w:rFonts w:ascii="Cambria Math" w:hAnsi="Cambria Math"/>
                <w:i/>
              </w:rPr>
            </m:ctrlPr>
          </m:e>
          <m:sup>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sup>
        </m:sSup>
        <m:sSup>
          <m:sSupPr>
            <m:ctrlPr>
              <w:rPr>
                <w:rFonts w:ascii="Cambria Math" w:hAnsi="Cambria Math"/>
                <w:i/>
              </w:rPr>
            </m:ctrlPr>
          </m:sSupPr>
          <m:e>
            <m:r>
              <m:rPr/>
              <w:rPr>
                <w:rFonts w:ascii="Cambria Math" w:hAnsi="Cambria Math"/>
              </w:rPr>
              <m:t>H</m:t>
            </m:r>
            <m:ctrlPr>
              <w:rPr>
                <w:rFonts w:ascii="Cambria Math" w:hAnsi="Cambria Math"/>
                <w:i/>
              </w:rPr>
            </m:ctrlPr>
          </m:e>
          <m:sup>
            <m:sSub>
              <m:sSubPr>
                <m:ctrlPr>
                  <w:rPr>
                    <w:rFonts w:ascii="Cambria Math" w:hAnsi="Cambria Math"/>
                    <w:i/>
                  </w:rPr>
                </m:ctrlPr>
              </m:sSubPr>
              <m:e>
                <m:r>
                  <m:rPr/>
                  <w:rPr>
                    <w:rFonts w:ascii="Cambria Math" w:hAnsi="Cambria Math"/>
                  </w:rPr>
                  <m:t>a</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p>
        </m:sSup>
      </m:oMath>
      <w:r>
        <w:rPr>
          <w:rFonts w:hint="eastAsia"/>
          <w:iCs/>
        </w:rPr>
        <w:t xml:space="preserve">  </w:t>
      </w:r>
      <w:r>
        <w:rPr>
          <w:rFonts w:ascii="Times New Roman" w:hAnsi="Times New Roman"/>
          <w:bCs/>
          <w:kern w:val="44"/>
        </w:rPr>
        <w:t>………………………………………</w:t>
      </w:r>
      <w:r>
        <w:rPr>
          <w:rFonts w:hint="eastAsia" w:ascii="Times New Roman" w:hAnsi="Times New Roman"/>
          <w:bCs/>
          <w:kern w:val="44"/>
        </w:rPr>
        <w:t>（8）</w:t>
      </w:r>
    </w:p>
    <w:p w14:paraId="3F1D23F0">
      <w:pPr>
        <w:jc w:val="right"/>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B</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0</m:t>
            </m:r>
            <m:ctrlPr>
              <w:rPr>
                <w:rFonts w:ascii="Cambria Math" w:hAnsi="Cambria Math"/>
                <w:i/>
              </w:rPr>
            </m:ctrlPr>
          </m:sub>
        </m:sSub>
        <m:sSup>
          <m:sSupPr>
            <m:ctrlPr>
              <w:rPr>
                <w:rFonts w:ascii="Cambria Math" w:hAnsi="Cambria Math"/>
                <w:i/>
              </w:rPr>
            </m:ctrlPr>
          </m:sSupPr>
          <m:e>
            <m:r>
              <m:rPr/>
              <w:rPr>
                <w:rFonts w:ascii="Cambria Math" w:hAnsi="Cambria Math"/>
              </w:rPr>
              <m:t>D</m:t>
            </m:r>
            <m:ctrlPr>
              <w:rPr>
                <w:rFonts w:ascii="Cambria Math" w:hAnsi="Cambria Math"/>
                <w:i/>
              </w:rPr>
            </m:ctrlPr>
          </m:e>
          <m:sup>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i/>
              </w:rPr>
            </m:ctrlPr>
          </m:sup>
        </m:sSup>
        <m:sSup>
          <m:sSupPr>
            <m:ctrlPr>
              <w:rPr>
                <w:rFonts w:ascii="Cambria Math" w:hAnsi="Cambria Math"/>
                <w:i/>
              </w:rPr>
            </m:ctrlPr>
          </m:sSupPr>
          <m:e>
            <m:r>
              <m:rPr/>
              <w:rPr>
                <w:rFonts w:ascii="Cambria Math" w:hAnsi="Cambria Math"/>
              </w:rPr>
              <m:t>H</m:t>
            </m:r>
            <m:ctrlPr>
              <w:rPr>
                <w:rFonts w:ascii="Cambria Math" w:hAnsi="Cambria Math"/>
                <w:i/>
              </w:rPr>
            </m:ctrlPr>
          </m:e>
          <m:sup>
            <m:sSub>
              <m:sSubPr>
                <m:ctrlPr>
                  <w:rPr>
                    <w:rFonts w:ascii="Cambria Math" w:hAnsi="Cambria Math"/>
                    <w:i/>
                  </w:rPr>
                </m:ctrlPr>
              </m:sSubPr>
              <m:e>
                <m:r>
                  <m:rPr/>
                  <w:rPr>
                    <w:rFonts w:ascii="Cambria Math" w:hAnsi="Cambria Math"/>
                  </w:rPr>
                  <m:t>b</m:t>
                </m:r>
                <m:ctrlPr>
                  <w:rPr>
                    <w:rFonts w:ascii="Cambria Math" w:hAnsi="Cambria Math"/>
                    <w:i/>
                  </w:rPr>
                </m:ctrlPr>
              </m:e>
              <m:sub>
                <m:r>
                  <m:rPr/>
                  <w:rPr>
                    <w:rFonts w:ascii="Cambria Math" w:hAnsi="Cambria Math"/>
                  </w:rPr>
                  <m:t>2</m:t>
                </m:r>
                <m:ctrlPr>
                  <w:rPr>
                    <w:rFonts w:ascii="Cambria Math" w:hAnsi="Cambria Math"/>
                    <w:i/>
                  </w:rPr>
                </m:ctrlPr>
              </m:sub>
            </m:sSub>
            <m:ctrlPr>
              <w:rPr>
                <w:rFonts w:ascii="Cambria Math" w:hAnsi="Cambria Math"/>
                <w:i/>
              </w:rPr>
            </m:ctrlPr>
          </m:sup>
        </m:sSup>
      </m:oMath>
      <w:r>
        <w:rPr>
          <w:rFonts w:ascii="Times New Roman" w:hAnsi="Times New Roman"/>
          <w:bCs/>
          <w:kern w:val="44"/>
        </w:rPr>
        <w:t>……………</w:t>
      </w:r>
      <w:r>
        <w:rPr>
          <w:rFonts w:hint="eastAsia" w:ascii="Times New Roman" w:hAnsi="Times New Roman"/>
          <w:bCs/>
          <w:kern w:val="44"/>
        </w:rPr>
        <w:t>.</w:t>
      </w:r>
      <w:r>
        <w:rPr>
          <w:rFonts w:ascii="Times New Roman" w:hAnsi="Times New Roman"/>
          <w:bCs/>
          <w:kern w:val="44"/>
        </w:rPr>
        <w:t>……………………………</w:t>
      </w:r>
      <w:r>
        <w:rPr>
          <w:rFonts w:hint="eastAsia" w:ascii="Times New Roman" w:hAnsi="Times New Roman"/>
          <w:bCs/>
          <w:kern w:val="44"/>
        </w:rPr>
        <w:t>（9）</w:t>
      </w:r>
    </w:p>
    <w:p w14:paraId="5BF88E52">
      <w:pPr>
        <w:pStyle w:val="231"/>
        <w:rPr>
          <w:rFonts w:ascii="Times New Roman"/>
        </w:rPr>
      </w:pPr>
      <w:r>
        <w:rPr>
          <w:rFonts w:ascii="Times New Roman"/>
        </w:rPr>
        <w:t>式中：</w:t>
      </w:r>
    </w:p>
    <w:p w14:paraId="7D987F54">
      <w:pPr>
        <w:pStyle w:val="231"/>
        <w:rPr>
          <w:rFonts w:ascii="Times New Roman"/>
          <w:szCs w:val="21"/>
        </w:rPr>
      </w:pPr>
      <w:bookmarkStart w:id="56" w:name="_Toc5220"/>
      <w:r>
        <w:rPr>
          <w:rFonts w:hint="eastAsia" w:ascii="Times New Roman"/>
          <w:i/>
          <w:iCs/>
          <w:lang w:val="en-US" w:eastAsia="zh-CN"/>
        </w:rPr>
        <w:t>M</w:t>
      </w:r>
      <w:r>
        <w:rPr>
          <w:rFonts w:hint="eastAsia" w:ascii="Times New Roman"/>
          <w:i/>
          <w:iCs/>
          <w:vertAlign w:val="subscript"/>
          <w:lang w:val="en-US" w:eastAsia="zh-CN"/>
        </w:rPr>
        <w:t>A</w:t>
      </w:r>
      <w:r>
        <w:rPr>
          <w:rFonts w:hint="eastAsia" w:ascii="Times New Roman" w:hAnsi="Times New Roman"/>
          <w:i/>
          <w:iCs/>
          <w:lang w:val="en-US" w:eastAsia="zh-CN"/>
        </w:rPr>
        <w:t xml:space="preserve"> </w:t>
      </w:r>
      <w:r>
        <w:rPr>
          <w:rFonts w:ascii="Times New Roman" w:hAnsi="Times New Roman" w:eastAsia="仿宋"/>
        </w:rPr>
        <w:t>——</w:t>
      </w:r>
      <w:r>
        <w:rPr>
          <w:rFonts w:ascii="Times New Roman"/>
        </w:rPr>
        <w:t>地上生物</w:t>
      </w:r>
      <w:r>
        <w:rPr>
          <w:rFonts w:ascii="Times New Roman"/>
          <w:szCs w:val="21"/>
        </w:rPr>
        <w:t>量估计值，单位为千克</w:t>
      </w:r>
      <w:r>
        <w:rPr>
          <w:rFonts w:ascii="Times New Roman"/>
        </w:rPr>
        <w:t>（kg）</w:t>
      </w:r>
      <w:r>
        <w:rPr>
          <w:rFonts w:ascii="Times New Roman"/>
          <w:szCs w:val="21"/>
        </w:rPr>
        <w:t>；</w:t>
      </w:r>
    </w:p>
    <w:p w14:paraId="5E59B931">
      <w:pPr>
        <w:pStyle w:val="231"/>
        <w:rPr>
          <w:rFonts w:ascii="Times New Roman"/>
          <w:szCs w:val="21"/>
        </w:rPr>
      </w:pPr>
      <w:r>
        <w:rPr>
          <w:rFonts w:hint="eastAsia" w:ascii="Times New Roman"/>
          <w:i/>
          <w:iCs/>
          <w:lang w:val="en-US" w:eastAsia="zh-CN"/>
        </w:rPr>
        <w:t>M</w:t>
      </w:r>
      <w:r>
        <w:rPr>
          <w:rFonts w:hint="eastAsia" w:ascii="Times New Roman"/>
          <w:i/>
          <w:iCs/>
          <w:vertAlign w:val="subscript"/>
          <w:lang w:val="en-US" w:eastAsia="zh-CN"/>
        </w:rPr>
        <w:t>B</w:t>
      </w:r>
      <w:r>
        <w:rPr>
          <w:rFonts w:hint="eastAsia" w:ascii="Times New Roman" w:hAnsi="Times New Roman"/>
          <w:i/>
          <w:iCs/>
          <w:lang w:val="en-US" w:eastAsia="zh-CN"/>
        </w:rPr>
        <w:t xml:space="preserve"> </w:t>
      </w:r>
      <w:r>
        <w:rPr>
          <w:rFonts w:ascii="Times New Roman" w:hAnsi="Times New Roman" w:eastAsia="仿宋"/>
        </w:rPr>
        <w:t>——</w:t>
      </w:r>
      <w:r>
        <w:rPr>
          <w:rFonts w:ascii="Times New Roman"/>
        </w:rPr>
        <w:t>地上生物</w:t>
      </w:r>
      <w:r>
        <w:rPr>
          <w:rFonts w:ascii="Times New Roman"/>
          <w:szCs w:val="21"/>
        </w:rPr>
        <w:t>量估计值，单位为千克</w:t>
      </w:r>
      <w:r>
        <w:rPr>
          <w:rFonts w:ascii="Times New Roman"/>
        </w:rPr>
        <w:t>（kg）</w:t>
      </w:r>
      <w:r>
        <w:rPr>
          <w:rFonts w:ascii="Times New Roman"/>
          <w:szCs w:val="21"/>
        </w:rPr>
        <w:t>；</w:t>
      </w:r>
    </w:p>
    <w:p w14:paraId="33227A6C">
      <w:pPr>
        <w:pStyle w:val="231"/>
        <w:rPr>
          <w:rFonts w:ascii="Times New Roman"/>
          <w:szCs w:val="21"/>
        </w:rPr>
      </w:pPr>
      <w:r>
        <w:rPr>
          <w:rFonts w:hint="eastAsia" w:ascii="Times New Roman"/>
          <w:i/>
          <w:szCs w:val="21"/>
          <w:lang w:val="en-US" w:eastAsia="zh-CN"/>
        </w:rPr>
        <w:t>D</w:t>
      </w:r>
      <w:r>
        <w:rPr>
          <w:rFonts w:hint="eastAsia" w:ascii="Times New Roman"/>
          <w:szCs w:val="21"/>
          <w:vertAlign w:val="subscript"/>
          <w:lang w:val="en-US" w:eastAsia="zh-CN"/>
        </w:rPr>
        <w:t xml:space="preserve">  </w:t>
      </w:r>
      <w:r>
        <w:rPr>
          <w:rFonts w:ascii="Times New Roman"/>
          <w:szCs w:val="21"/>
        </w:rPr>
        <w:t>——</w:t>
      </w:r>
      <w:r>
        <w:rPr>
          <w:rFonts w:ascii="Times New Roman"/>
        </w:rPr>
        <w:t>立木胸径</w:t>
      </w:r>
      <w:r>
        <w:rPr>
          <w:rFonts w:ascii="Times New Roman"/>
          <w:szCs w:val="21"/>
        </w:rPr>
        <w:t>，单位为</w:t>
      </w:r>
      <w:r>
        <w:rPr>
          <w:rFonts w:hint="eastAsia" w:ascii="Times New Roman"/>
          <w:szCs w:val="21"/>
          <w:lang w:val="en-US" w:eastAsia="zh-CN"/>
        </w:rPr>
        <w:t>厘米</w:t>
      </w:r>
      <w:r>
        <w:rPr>
          <w:rFonts w:ascii="Times New Roman"/>
          <w:szCs w:val="21"/>
        </w:rPr>
        <w:t>（cm）；</w:t>
      </w:r>
    </w:p>
    <w:p w14:paraId="4CBF511C">
      <w:pPr>
        <w:pStyle w:val="231"/>
        <w:rPr>
          <w:rFonts w:ascii="Times New Roman"/>
          <w:szCs w:val="21"/>
        </w:rPr>
      </w:pPr>
      <w:r>
        <w:rPr>
          <w:rFonts w:ascii="Times New Roman"/>
          <w:i/>
          <w:szCs w:val="21"/>
        </w:rPr>
        <w:t>H</w:t>
      </w:r>
      <w:r>
        <w:rPr>
          <w:rFonts w:hint="eastAsia" w:ascii="Times New Roman"/>
          <w:szCs w:val="21"/>
          <w:vertAlign w:val="subscript"/>
          <w:lang w:val="en-US" w:eastAsia="zh-CN"/>
        </w:rPr>
        <w:t xml:space="preserve">  </w:t>
      </w:r>
      <w:r>
        <w:rPr>
          <w:rFonts w:ascii="Times New Roman"/>
          <w:szCs w:val="21"/>
        </w:rPr>
        <w:t>——</w:t>
      </w:r>
      <w:r>
        <w:rPr>
          <w:rFonts w:ascii="Times New Roman"/>
        </w:rPr>
        <w:t>立木树高</w:t>
      </w:r>
      <w:r>
        <w:rPr>
          <w:rFonts w:ascii="Times New Roman"/>
          <w:szCs w:val="21"/>
        </w:rPr>
        <w:t>，单位为米（m）；</w:t>
      </w:r>
    </w:p>
    <w:p w14:paraId="62976AC6">
      <w:pPr>
        <w:pStyle w:val="231"/>
        <w:rPr>
          <w:rFonts w:ascii="Times New Roman"/>
        </w:rPr>
      </w:pPr>
      <w:r>
        <w:rPr>
          <w:rFonts w:ascii="Times New Roman"/>
          <w:i/>
          <w:szCs w:val="21"/>
        </w:rPr>
        <w:t>a</w:t>
      </w:r>
      <w:r>
        <w:rPr>
          <w:rFonts w:ascii="Times New Roman"/>
          <w:szCs w:val="21"/>
          <w:vertAlign w:val="subscript"/>
        </w:rPr>
        <w:t>0、</w:t>
      </w:r>
      <w:r>
        <w:rPr>
          <w:rFonts w:ascii="Times New Roman"/>
          <w:i/>
          <w:szCs w:val="21"/>
        </w:rPr>
        <w:t>a</w:t>
      </w:r>
      <w:r>
        <w:rPr>
          <w:rFonts w:ascii="Times New Roman"/>
          <w:szCs w:val="21"/>
          <w:vertAlign w:val="subscript"/>
        </w:rPr>
        <w:t>1、</w:t>
      </w:r>
      <w:r>
        <w:rPr>
          <w:rFonts w:ascii="Times New Roman"/>
          <w:i/>
          <w:szCs w:val="21"/>
        </w:rPr>
        <w:t>a</w:t>
      </w:r>
      <w:r>
        <w:rPr>
          <w:rFonts w:ascii="Times New Roman"/>
          <w:szCs w:val="21"/>
          <w:vertAlign w:val="subscript"/>
        </w:rPr>
        <w:t>2、</w:t>
      </w:r>
      <w:r>
        <w:rPr>
          <w:rFonts w:ascii="Times New Roman"/>
          <w:i/>
          <w:szCs w:val="21"/>
        </w:rPr>
        <w:t>b</w:t>
      </w:r>
      <w:r>
        <w:rPr>
          <w:rFonts w:ascii="Times New Roman"/>
          <w:szCs w:val="21"/>
          <w:vertAlign w:val="subscript"/>
        </w:rPr>
        <w:t>0、</w:t>
      </w:r>
      <w:r>
        <w:rPr>
          <w:rFonts w:ascii="Times New Roman"/>
          <w:i/>
          <w:szCs w:val="21"/>
        </w:rPr>
        <w:t>b</w:t>
      </w:r>
      <w:r>
        <w:rPr>
          <w:rFonts w:ascii="Times New Roman"/>
          <w:szCs w:val="21"/>
          <w:vertAlign w:val="subscript"/>
        </w:rPr>
        <w:t>1、</w:t>
      </w:r>
      <w:r>
        <w:rPr>
          <w:rFonts w:ascii="Times New Roman"/>
          <w:i/>
          <w:szCs w:val="21"/>
        </w:rPr>
        <w:t>b</w:t>
      </w:r>
      <w:r>
        <w:rPr>
          <w:rFonts w:ascii="Times New Roman"/>
          <w:szCs w:val="21"/>
          <w:vertAlign w:val="subscript"/>
        </w:rPr>
        <w:t>2、</w:t>
      </w:r>
      <w:r>
        <w:rPr>
          <w:rFonts w:ascii="Times New Roman"/>
          <w:szCs w:val="21"/>
        </w:rPr>
        <w:t>——</w:t>
      </w:r>
      <w:r>
        <w:rPr>
          <w:rFonts w:ascii="Times New Roman"/>
        </w:rPr>
        <w:t>模型参数</w:t>
      </w:r>
      <w:r>
        <w:rPr>
          <w:rFonts w:ascii="Times New Roman"/>
          <w:szCs w:val="21"/>
        </w:rPr>
        <w:t>。</w:t>
      </w:r>
    </w:p>
    <w:p w14:paraId="38100DE8">
      <w:pPr>
        <w:pStyle w:val="106"/>
        <w:spacing w:before="120" w:after="120"/>
        <w:rPr>
          <w:rFonts w:ascii="Times New Roman"/>
        </w:rPr>
      </w:pPr>
      <w:r>
        <w:rPr>
          <w:rFonts w:ascii="Times New Roman"/>
        </w:rPr>
        <w:t>相容性生物量模型</w:t>
      </w:r>
      <w:bookmarkEnd w:id="56"/>
    </w:p>
    <w:p w14:paraId="5D531900">
      <w:pPr>
        <w:pStyle w:val="231"/>
        <w:jc w:val="right"/>
        <w:rPr>
          <w:rFonts w:hint="eastAsia" w:hAnsi="宋体" w:cs="宋体"/>
        </w:rPr>
      </w:pPr>
      <m:oMath>
        <m:d>
          <m:dPr>
            <m:begChr m:val="{"/>
            <m:endChr m:val=""/>
            <m:ctrlPr>
              <w:rPr>
                <w:rFonts w:hint="default" w:ascii="Cambria Math" w:hAnsi="Cambria Math" w:eastAsia="Segoe UI Emoji"/>
                <w:sz w:val="24"/>
              </w:rPr>
            </m:ctrlPr>
          </m:dPr>
          <m:e>
            <m:m>
              <m:mPr>
                <m:mcs>
                  <m:mc>
                    <m:mcPr>
                      <m:count m:val="1"/>
                      <m:mcJc m:val="right"/>
                    </m:mcPr>
                  </m:mc>
                  <m:mc>
                    <m:mcPr>
                      <m:count m:val="1"/>
                      <m:mcJc m:val="left"/>
                    </m:mcPr>
                  </m:mc>
                </m:mcs>
                <m:ctrlPr>
                  <w:rPr>
                    <w:rFonts w:hint="default" w:ascii="Cambria Math" w:hAnsi="Cambria Math" w:eastAsia="Segoe UI Emoji"/>
                    <w:sz w:val="24"/>
                  </w:rPr>
                </m:ctrlPr>
              </m:mPr>
              <m:mr>
                <m:e>
                  <m:ctrlPr>
                    <w:rPr>
                      <w:rFonts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ascii="Cambria Math" w:hAnsi="Cambria Math" w:eastAsia="Segoe UI Emoji"/>
                          <w:sz w:val="24"/>
                        </w:rPr>
                      </m:ctrlPr>
                    </m:e>
                    <m:sub>
                      <m:r>
                        <m:rPr/>
                        <w:rPr>
                          <w:rFonts w:hint="default" w:ascii="Cambria Math" w:hAnsi="Cambria Math" w:eastAsia="Segoe UI Emoji"/>
                          <w:sz w:val="24"/>
                        </w:rPr>
                        <m:t>s</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b</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hint="default" w:ascii="Cambria Math" w:hAnsi="Cambria Math" w:eastAsia="Segoe UI Emoji"/>
                          <w:sz w:val="24"/>
                        </w:rPr>
                      </m:ctrlPr>
                    </m:e>
                    <m:sub>
                      <m:r>
                        <m:rPr/>
                        <w:rPr>
                          <w:rFonts w:hint="default" w:ascii="Cambria Math" w:hAnsi="Cambria Math" w:eastAsia="Segoe UI Emoji"/>
                          <w:sz w:val="24"/>
                        </w:rPr>
                        <m:t>0</m:t>
                      </m:r>
                      <m:ctrlPr>
                        <w:rPr>
                          <w:rFonts w:hint="default" w:ascii="Cambria Math" w:hAnsi="Cambria Math" w:eastAsia="Segoe UI Emoji"/>
                          <w:sz w:val="24"/>
                        </w:rPr>
                      </m:ctrlPr>
                    </m:sub>
                  </m:sSub>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l</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hint="default" w:ascii="Cambria Math" w:hAnsi="Cambria Math" w:eastAsia="Segoe UI Emoji"/>
                          <w:sz w:val="24"/>
                        </w:rPr>
                      </m:ctrlPr>
                    </m:e>
                    <m:sub>
                      <m:r>
                        <m:rPr/>
                        <w:rPr>
                          <w:rFonts w:hint="default" w:ascii="Cambria Math" w:hAnsi="Cambria Math" w:eastAsia="Segoe UI Emoji"/>
                          <w:sz w:val="24"/>
                        </w:rPr>
                        <m:t>0</m:t>
                      </m:r>
                      <m:ctrlPr>
                        <w:rPr>
                          <w:rFonts w:hint="default" w:ascii="Cambria Math" w:hAnsi="Cambria Math" w:eastAsia="Segoe UI Emoji"/>
                          <w:sz w:val="24"/>
                        </w:rPr>
                      </m:ctrlPr>
                    </m:sub>
                  </m:sSub>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r</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c</m:t>
                      </m:r>
                      <m:ctrlPr>
                        <w:rPr>
                          <w:rFonts w:hint="default" w:ascii="Cambria Math" w:hAnsi="Cambria Math" w:eastAsia="Segoe UI Emoji"/>
                          <w:sz w:val="24"/>
                        </w:rPr>
                      </m:ctrlPr>
                    </m:e>
                    <m:sub>
                      <m:r>
                        <m:rPr/>
                        <w:rPr>
                          <w:rFonts w:hint="default" w:ascii="Cambria Math" w:hAnsi="Cambria Math" w:eastAsia="Segoe UI Emoji"/>
                          <w:sz w:val="24"/>
                        </w:rPr>
                        <m:t>0</m:t>
                      </m:r>
                      <m:ctrlPr>
                        <w:rPr>
                          <w:rFonts w:hint="default" w:ascii="Cambria Math" w:hAnsi="Cambria Math" w:eastAsia="Segoe UI Emoji"/>
                          <w:sz w:val="24"/>
                        </w:rPr>
                      </m:ctrlPr>
                    </m:sub>
                  </m:sSub>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e</m:t>
                          </m:r>
                          <m:ctrlPr>
                            <w:rPr>
                              <w:rFonts w:ascii="Cambria Math" w:hAnsi="Cambria Math" w:eastAsia="Segoe UI Emoji"/>
                              <w:sz w:val="24"/>
                            </w:rPr>
                          </m:ctrlPr>
                        </m:e>
                        <m:sub>
                          <m:r>
                            <m:rPr/>
                            <w:rPr>
                              <w:rFonts w:hint="default" w:ascii="Cambria Math" w:hAnsi="Cambria Math" w:eastAsia="Segoe UI Emoji"/>
                              <w:sz w:val="24"/>
                            </w:rPr>
                            <m:t>0</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/(1+</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1</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1</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2</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2</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r</m:t>
                      </m:r>
                      <m:ctrlPr>
                        <w:rPr>
                          <w:rFonts w:hint="default" w:ascii="Cambria Math" w:hAnsi="Cambria Math" w:eastAsia="Segoe UI Emoji"/>
                          <w:sz w:val="24"/>
                        </w:rPr>
                      </m:ctrlPr>
                    </m:e>
                    <m:sub>
                      <m:r>
                        <m:rPr/>
                        <w:rPr>
                          <w:rFonts w:hint="default" w:ascii="Cambria Math" w:hAnsi="Cambria Math" w:eastAsia="Segoe UI Emoji"/>
                          <w:sz w:val="24"/>
                        </w:rPr>
                        <m:t>3</m:t>
                      </m:r>
                      <m:ctrlPr>
                        <w:rPr>
                          <w:rFonts w:hint="default" w:ascii="Cambria Math" w:hAnsi="Cambria Math" w:eastAsia="Segoe UI Emoji"/>
                          <w:sz w:val="24"/>
                        </w:rPr>
                      </m:ctrlPr>
                    </m:sub>
                  </m:sSub>
                  <m:sSup>
                    <m:sSupPr>
                      <m:ctrlPr>
                        <w:rPr>
                          <w:rFonts w:hint="default" w:ascii="Cambria Math" w:hAnsi="Cambria Math" w:eastAsia="Segoe UI Emoji"/>
                          <w:sz w:val="24"/>
                        </w:rPr>
                      </m:ctrlPr>
                    </m:sSupPr>
                    <m:e>
                      <m:r>
                        <m:rPr/>
                        <w:rPr>
                          <w:rFonts w:hint="default" w:ascii="Cambria Math" w:hAnsi="Cambria Math" w:eastAsia="Segoe UI Emoji"/>
                          <w:sz w:val="24"/>
                        </w:rPr>
                        <m:t>D</m:t>
                      </m:r>
                      <m:ctrlPr>
                        <w:rPr>
                          <w:rFonts w:hint="default" w:ascii="Cambria Math" w:hAnsi="Cambria Math" w:eastAsia="Segoe UI Emoji"/>
                          <w:sz w:val="24"/>
                        </w:rPr>
                      </m:ctrlPr>
                    </m:e>
                    <m:sup>
                      <m:sSub>
                        <m:sSubPr>
                          <m:ctrlPr>
                            <w:rPr>
                              <w:rFonts w:hint="default" w:ascii="Cambria Math" w:hAnsi="Cambria Math" w:eastAsia="Segoe UI Emoji"/>
                              <w:sz w:val="24"/>
                            </w:rPr>
                          </m:ctrlPr>
                        </m:sSubPr>
                        <m:e>
                          <m:r>
                            <m:rPr/>
                            <w:rPr>
                              <w:rFonts w:hint="default" w:ascii="Cambria Math" w:hAnsi="Cambria Math" w:eastAsia="Segoe UI Emoji"/>
                              <w:sz w:val="24"/>
                            </w:rPr>
                            <m:t>k</m:t>
                          </m:r>
                          <m:ctrlPr>
                            <w:rPr>
                              <w:rFonts w:ascii="Cambria Math" w:hAnsi="Cambria Math" w:eastAsia="Segoe UI Emoji"/>
                              <w:sz w:val="24"/>
                            </w:rPr>
                          </m:ctrlPr>
                        </m:e>
                        <m:sub>
                          <m:r>
                            <m:rPr/>
                            <w:rPr>
                              <w:rFonts w:hint="default" w:ascii="Cambria Math" w:hAnsi="Cambria Math" w:eastAsia="Segoe UI Emoji"/>
                              <w:sz w:val="24"/>
                            </w:rPr>
                            <m:t>3</m:t>
                          </m:r>
                          <m:ctrlPr>
                            <w:rPr>
                              <w:rFonts w:ascii="Cambria Math" w:hAnsi="Cambria Math" w:eastAsia="Segoe UI Emoji"/>
                              <w:sz w:val="24"/>
                            </w:rPr>
                          </m:ctrlPr>
                        </m:sub>
                      </m:sSub>
                      <m:ctrlPr>
                        <w:rPr>
                          <w:rFonts w:hint="default" w:ascii="Cambria Math" w:hAnsi="Cambria Math" w:eastAsia="Segoe UI Emoji"/>
                          <w:sz w:val="24"/>
                        </w:rPr>
                      </m:ctrlPr>
                    </m:sup>
                  </m:sSup>
                  <m:r>
                    <m:rPr/>
                    <w:rPr>
                      <w:rFonts w:hint="default" w:ascii="Cambria Math" w:hAnsi="Cambria Math" w:eastAsia="Segoe UI Emoji"/>
                      <w:sz w:val="24"/>
                    </w:rPr>
                    <m:t>)</m:t>
                  </m:r>
                  <m:ctrlPr>
                    <w:rPr>
                      <w:rFonts w:hint="default" w:ascii="Cambria Math" w:hAnsi="Cambria Math" w:eastAsia="Segoe UI Emoji"/>
                      <w:sz w:val="24"/>
                    </w:rPr>
                  </m:ctrlPr>
                </m:e>
              </m:mr>
              <m:mr>
                <m:e>
                  <m:ctrlPr>
                    <w:rPr>
                      <w:rFonts w:hint="default" w:ascii="Cambria Math" w:hAnsi="Cambria Math" w:eastAsia="Segoe UI Emoji"/>
                      <w:sz w:val="24"/>
                    </w:rPr>
                  </m:ctrlPr>
                </m:e>
                <m:e>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t</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s</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b</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l</m:t>
                      </m:r>
                      <m:ctrlPr>
                        <w:rPr>
                          <w:rFonts w:hint="default" w:ascii="Cambria Math" w:hAnsi="Cambria Math" w:eastAsia="Segoe UI Emoji"/>
                          <w:sz w:val="24"/>
                        </w:rPr>
                      </m:ctrlPr>
                    </m:sub>
                  </m:sSub>
                  <m:r>
                    <m:rPr/>
                    <w:rPr>
                      <w:rFonts w:hint="default" w:ascii="Cambria Math" w:hAnsi="Cambria Math" w:eastAsia="Segoe UI Emoji"/>
                      <w:sz w:val="24"/>
                    </w:rPr>
                    <m:t>+</m:t>
                  </m:r>
                  <m:sSub>
                    <m:sSubPr>
                      <m:ctrlPr>
                        <w:rPr>
                          <w:rFonts w:hint="default" w:ascii="Cambria Math" w:hAnsi="Cambria Math" w:eastAsia="Segoe UI Emoji"/>
                          <w:sz w:val="24"/>
                        </w:rPr>
                      </m:ctrlPr>
                    </m:sSubPr>
                    <m:e>
                      <m:r>
                        <m:rPr/>
                        <w:rPr>
                          <w:rFonts w:hint="default" w:ascii="Cambria Math" w:hAnsi="Cambria Math" w:eastAsia="Segoe UI Emoji"/>
                          <w:sz w:val="24"/>
                        </w:rPr>
                        <m:t>W</m:t>
                      </m:r>
                      <m:ctrlPr>
                        <w:rPr>
                          <w:rFonts w:hint="default" w:ascii="Cambria Math" w:hAnsi="Cambria Math" w:eastAsia="Segoe UI Emoji"/>
                          <w:sz w:val="24"/>
                        </w:rPr>
                      </m:ctrlPr>
                    </m:e>
                    <m:sub>
                      <m:r>
                        <m:rPr/>
                        <w:rPr>
                          <w:rFonts w:hint="default" w:ascii="Cambria Math" w:hAnsi="Cambria Math" w:eastAsia="Segoe UI Emoji"/>
                          <w:sz w:val="24"/>
                        </w:rPr>
                        <m:t>r</m:t>
                      </m:r>
                      <m:ctrlPr>
                        <w:rPr>
                          <w:rFonts w:hint="default" w:ascii="Cambria Math" w:hAnsi="Cambria Math" w:eastAsia="Segoe UI Emoji"/>
                          <w:sz w:val="24"/>
                        </w:rPr>
                      </m:ctrlPr>
                    </m:sub>
                  </m:sSub>
                  <m:ctrlPr>
                    <w:rPr>
                      <w:rFonts w:hint="default" w:ascii="Cambria Math" w:hAnsi="Cambria Math" w:eastAsia="Segoe UI Emoji"/>
                      <w:sz w:val="24"/>
                    </w:rPr>
                  </m:ctrlPr>
                </m:e>
              </m:mr>
            </m:m>
            <m:ctrlPr>
              <w:rPr>
                <w:rFonts w:hint="default" w:ascii="Cambria Math" w:hAnsi="Cambria Math" w:eastAsia="Segoe UI Emoji"/>
                <w:sz w:val="24"/>
              </w:rPr>
            </m:ctrlPr>
          </m:e>
        </m:d>
      </m:oMath>
      <w:r>
        <w:rPr>
          <w:rFonts w:ascii="Times New Roman"/>
          <w:bCs/>
          <w:kern w:val="44"/>
          <w:szCs w:val="21"/>
        </w:rPr>
        <w:t>…………</w:t>
      </w:r>
      <w:r>
        <w:rPr>
          <w:rFonts w:hint="eastAsia" w:ascii="Times New Roman"/>
          <w:bCs/>
          <w:kern w:val="44"/>
          <w:szCs w:val="21"/>
        </w:rPr>
        <w:t>（10）</w:t>
      </w:r>
    </w:p>
    <w:p w14:paraId="54D512B9">
      <w:pPr>
        <w:pStyle w:val="231"/>
        <w:rPr>
          <w:rFonts w:hint="eastAsia" w:hAnsi="宋体" w:cs="宋体"/>
        </w:rPr>
      </w:pPr>
    </w:p>
    <w:p w14:paraId="1A089FD9">
      <w:pPr>
        <w:pStyle w:val="231"/>
        <w:rPr>
          <w:rFonts w:hint="eastAsia" w:hAnsi="宋体" w:cs="宋体"/>
        </w:rPr>
      </w:pPr>
      <w:r>
        <w:rPr>
          <w:rFonts w:hint="eastAsia" w:hAnsi="宋体" w:cs="宋体"/>
        </w:rPr>
        <w:t>式中：</w:t>
      </w:r>
    </w:p>
    <w:p w14:paraId="0E2E770B">
      <w:pPr>
        <w:pStyle w:val="231"/>
        <w:rPr>
          <w:rFonts w:hint="eastAsia" w:hAnsi="宋体" w:cs="宋体"/>
        </w:rPr>
      </w:pPr>
      <w:bookmarkStart w:id="57" w:name="_Toc18661"/>
      <w:r>
        <w:rPr>
          <w:rFonts w:hint="eastAsia" w:hAnsi="宋体" w:cs="宋体"/>
          <w:i/>
          <w:iCs/>
        </w:rPr>
        <w:t>W</w:t>
      </w:r>
      <w:r>
        <w:rPr>
          <w:rFonts w:hint="eastAsia" w:hAnsi="宋体" w:cs="宋体"/>
          <w:i/>
          <w:iCs/>
          <w:vertAlign w:val="subscript"/>
        </w:rPr>
        <w:t>S</w:t>
      </w:r>
      <w:r>
        <w:rPr>
          <w:rFonts w:hint="eastAsia" w:hAnsi="宋体" w:cs="宋体"/>
          <w:i/>
          <w:iCs/>
        </w:rPr>
        <w:t>、W</w:t>
      </w:r>
      <w:r>
        <w:rPr>
          <w:rFonts w:hint="eastAsia" w:hAnsi="宋体" w:cs="宋体"/>
          <w:i/>
          <w:iCs/>
          <w:vertAlign w:val="subscript"/>
        </w:rPr>
        <w:t>b</w:t>
      </w:r>
      <w:r>
        <w:rPr>
          <w:rFonts w:hint="eastAsia" w:hAnsi="宋体" w:cs="宋体"/>
          <w:i/>
          <w:iCs/>
        </w:rPr>
        <w:t>、W</w:t>
      </w:r>
      <w:r>
        <w:rPr>
          <w:rFonts w:hint="eastAsia" w:hAnsi="宋体" w:cs="宋体"/>
          <w:i/>
          <w:iCs/>
          <w:vertAlign w:val="subscript"/>
        </w:rPr>
        <w:t>l</w:t>
      </w:r>
      <w:r>
        <w:rPr>
          <w:rFonts w:hint="eastAsia" w:hAnsi="宋体" w:cs="宋体"/>
          <w:i/>
          <w:iCs/>
        </w:rPr>
        <w:t>、W</w:t>
      </w:r>
      <w:r>
        <w:rPr>
          <w:rFonts w:hint="eastAsia" w:hAnsi="宋体" w:cs="宋体"/>
          <w:i/>
          <w:iCs/>
          <w:vertAlign w:val="subscript"/>
        </w:rPr>
        <w:t>r</w:t>
      </w:r>
      <w:r>
        <w:rPr>
          <w:rFonts w:hint="eastAsia" w:hAnsi="宋体" w:cs="宋体"/>
          <w:i/>
          <w:iCs/>
        </w:rPr>
        <w:t>、W</w:t>
      </w:r>
      <w:r>
        <w:rPr>
          <w:rFonts w:hint="eastAsia" w:hAnsi="宋体" w:cs="宋体"/>
          <w:i/>
          <w:iCs/>
          <w:vertAlign w:val="subscript"/>
          <w:lang w:val="en-US" w:eastAsia="zh-CN"/>
        </w:rPr>
        <w:t>t</w:t>
      </w:r>
      <w:r>
        <w:rPr>
          <w:rFonts w:ascii="Times New Roman"/>
          <w:szCs w:val="21"/>
        </w:rPr>
        <w:t>——</w:t>
      </w:r>
      <w:r>
        <w:rPr>
          <w:rFonts w:hint="eastAsia" w:hAnsi="宋体" w:cs="宋体"/>
        </w:rPr>
        <w:t>分别为树干、树枝、树叶、树根和立木总生物量估计值，单位为千克（kg）；</w:t>
      </w:r>
    </w:p>
    <w:p w14:paraId="4818AC31">
      <w:pPr>
        <w:pStyle w:val="16"/>
        <w:spacing w:line="240" w:lineRule="auto"/>
        <w:ind w:left="0" w:leftChars="0" w:firstLine="420" w:firstLineChars="200"/>
        <w:rPr>
          <w:rFonts w:hint="eastAsia" w:ascii="宋体" w:hAnsi="宋体" w:cs="宋体"/>
          <w:color w:val="000000"/>
        </w:rPr>
      </w:pPr>
      <w:r>
        <w:rPr>
          <w:rFonts w:hint="eastAsia" w:ascii="宋体" w:hAnsi="宋体" w:cs="宋体"/>
          <w:i/>
          <w:iCs/>
          <w:color w:val="000000"/>
        </w:rPr>
        <w:t>c</w:t>
      </w:r>
      <w:r>
        <w:rPr>
          <w:rFonts w:hint="eastAsia" w:ascii="宋体" w:hAnsi="宋体" w:cs="宋体"/>
          <w:i/>
          <w:iCs/>
          <w:color w:val="000000"/>
          <w:vertAlign w:val="subscript"/>
        </w:rPr>
        <w:t>0</w:t>
      </w:r>
      <w:r>
        <w:rPr>
          <w:rFonts w:hint="eastAsia" w:ascii="宋体" w:hAnsi="宋体" w:cs="宋体"/>
          <w:i/>
          <w:iCs/>
          <w:color w:val="000000"/>
        </w:rPr>
        <w:t>、e</w:t>
      </w:r>
      <w:r>
        <w:rPr>
          <w:rFonts w:hint="eastAsia" w:ascii="宋体" w:hAnsi="宋体" w:cs="宋体"/>
          <w:i/>
          <w:iCs/>
          <w:color w:val="000000"/>
          <w:vertAlign w:val="subscript"/>
        </w:rPr>
        <w:t>0</w:t>
      </w:r>
      <w:r>
        <w:rPr>
          <w:rFonts w:hint="eastAsia" w:ascii="宋体" w:hAnsi="宋体" w:cs="宋体"/>
          <w:i/>
          <w:iCs/>
          <w:color w:val="000000"/>
        </w:rPr>
        <w:t>、r</w:t>
      </w:r>
      <w:r>
        <w:rPr>
          <w:rFonts w:hint="eastAsia" w:ascii="宋体" w:hAnsi="宋体" w:cs="宋体"/>
          <w:i/>
          <w:iCs/>
          <w:color w:val="000000"/>
          <w:vertAlign w:val="subscript"/>
        </w:rPr>
        <w:t>1</w:t>
      </w:r>
      <w:r>
        <w:rPr>
          <w:rFonts w:hint="eastAsia" w:ascii="宋体" w:hAnsi="宋体" w:cs="宋体"/>
          <w:i/>
          <w:iCs/>
          <w:color w:val="000000"/>
        </w:rPr>
        <w:t>、r</w:t>
      </w:r>
      <w:r>
        <w:rPr>
          <w:rFonts w:hint="eastAsia" w:ascii="宋体" w:hAnsi="宋体" w:cs="宋体"/>
          <w:i/>
          <w:iCs/>
          <w:color w:val="000000"/>
          <w:vertAlign w:val="subscript"/>
        </w:rPr>
        <w:t>2</w:t>
      </w:r>
      <w:r>
        <w:rPr>
          <w:rFonts w:hint="eastAsia" w:ascii="宋体" w:hAnsi="宋体" w:cs="宋体"/>
          <w:i/>
          <w:iCs/>
          <w:color w:val="000000"/>
        </w:rPr>
        <w:t>、r</w:t>
      </w:r>
      <w:r>
        <w:rPr>
          <w:rFonts w:hint="eastAsia" w:ascii="宋体" w:hAnsi="宋体" w:cs="宋体"/>
          <w:i/>
          <w:iCs/>
          <w:color w:val="000000"/>
          <w:vertAlign w:val="subscript"/>
        </w:rPr>
        <w:t>2</w:t>
      </w:r>
      <w:r>
        <w:rPr>
          <w:rFonts w:hint="eastAsia" w:ascii="宋体" w:hAnsi="宋体" w:cs="宋体"/>
          <w:i/>
          <w:iCs/>
          <w:color w:val="000000"/>
        </w:rPr>
        <w:t>、k</w:t>
      </w:r>
      <w:r>
        <w:rPr>
          <w:rFonts w:hint="eastAsia" w:ascii="宋体" w:hAnsi="宋体" w:cs="宋体"/>
          <w:i/>
          <w:iCs/>
          <w:color w:val="000000"/>
          <w:vertAlign w:val="subscript"/>
        </w:rPr>
        <w:t>1</w:t>
      </w:r>
      <w:r>
        <w:rPr>
          <w:rFonts w:hint="eastAsia" w:ascii="宋体" w:hAnsi="宋体" w:cs="宋体"/>
          <w:i/>
          <w:iCs/>
          <w:color w:val="000000"/>
        </w:rPr>
        <w:t>、k</w:t>
      </w:r>
      <w:r>
        <w:rPr>
          <w:rFonts w:hint="eastAsia" w:ascii="宋体" w:hAnsi="宋体" w:cs="宋体"/>
          <w:i/>
          <w:iCs/>
          <w:color w:val="000000"/>
          <w:vertAlign w:val="subscript"/>
        </w:rPr>
        <w:t>2</w:t>
      </w:r>
      <w:r>
        <w:rPr>
          <w:rFonts w:hint="eastAsia" w:ascii="宋体" w:hAnsi="宋体" w:cs="宋体"/>
          <w:i/>
          <w:iCs/>
          <w:color w:val="000000"/>
        </w:rPr>
        <w:t>、k</w:t>
      </w:r>
      <w:r>
        <w:rPr>
          <w:rFonts w:hint="eastAsia" w:ascii="宋体" w:hAnsi="宋体" w:cs="宋体"/>
          <w:i/>
          <w:iCs/>
          <w:color w:val="000000"/>
          <w:vertAlign w:val="subscript"/>
        </w:rPr>
        <w:t>3</w:t>
      </w:r>
      <w:r>
        <w:rPr>
          <w:rFonts w:ascii="Times New Roman" w:hAnsi="Times New Roman"/>
        </w:rPr>
        <w:t>——</w:t>
      </w:r>
      <w:r>
        <w:rPr>
          <w:rFonts w:hint="eastAsia" w:ascii="宋体" w:hAnsi="宋体" w:cs="宋体"/>
        </w:rPr>
        <w:t>模型参数</w:t>
      </w:r>
      <w:r>
        <w:rPr>
          <w:rFonts w:hint="eastAsia" w:ascii="宋体" w:hAnsi="宋体" w:cs="宋体"/>
          <w:color w:val="000000"/>
        </w:rPr>
        <w:t>。</w:t>
      </w:r>
    </w:p>
    <w:p w14:paraId="37F498EB">
      <w:pPr>
        <w:pStyle w:val="106"/>
        <w:spacing w:before="120" w:after="120"/>
        <w:rPr>
          <w:rFonts w:ascii="Times New Roman"/>
        </w:rPr>
      </w:pPr>
      <w:r>
        <w:rPr>
          <w:rFonts w:ascii="Times New Roman"/>
        </w:rPr>
        <w:t>模型</w:t>
      </w:r>
      <w:r>
        <w:rPr>
          <w:rFonts w:hint="eastAsia" w:ascii="Times New Roman"/>
        </w:rPr>
        <w:t>参数</w:t>
      </w:r>
      <w:bookmarkEnd w:id="57"/>
    </w:p>
    <w:p w14:paraId="3D9B4371">
      <w:pPr>
        <w:pStyle w:val="231"/>
        <w:rPr>
          <w:rFonts w:hint="eastAsia" w:hAnsi="宋体" w:cs="宋体"/>
        </w:rPr>
      </w:pPr>
      <w:r>
        <w:rPr>
          <w:rFonts w:hint="eastAsia" w:hAnsi="宋体" w:cs="宋体"/>
        </w:rPr>
        <w:t>生物量模型的参数估计值见表1、表2、表3。</w:t>
      </w:r>
    </w:p>
    <w:p w14:paraId="08771840">
      <w:pPr>
        <w:pStyle w:val="231"/>
        <w:rPr>
          <w:rFonts w:hint="eastAsia" w:hAnsi="宋体" w:cs="宋体"/>
        </w:rPr>
      </w:pPr>
    </w:p>
    <w:p w14:paraId="5BEA0CB1">
      <w:pPr>
        <w:pStyle w:val="231"/>
        <w:ind w:firstLine="0" w:firstLineChars="0"/>
        <w:jc w:val="center"/>
        <w:rPr>
          <w:rFonts w:hint="eastAsia" w:hAnsi="宋体" w:cs="宋体"/>
        </w:rPr>
      </w:pPr>
      <w:r>
        <w:rPr>
          <w:rFonts w:hint="eastAsia" w:ascii="黑体" w:hAnsi="黑体" w:eastAsia="黑体" w:cs="宋体"/>
          <w:szCs w:val="21"/>
        </w:rPr>
        <w:t>表1 地上生物量模型参数估计值结果</w:t>
      </w:r>
    </w:p>
    <w:tbl>
      <w:tblPr>
        <w:tblStyle w:val="27"/>
        <w:tblpPr w:leftFromText="180" w:rightFromText="180" w:vertAnchor="text" w:tblpY="1"/>
        <w:tblW w:w="5000"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89"/>
        <w:gridCol w:w="2119"/>
        <w:gridCol w:w="2100"/>
        <w:gridCol w:w="2162"/>
      </w:tblGrid>
      <w:tr w14:paraId="21D44434">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restart"/>
            <w:tcBorders>
              <w:top w:val="single" w:color="auto" w:sz="4" w:space="0"/>
            </w:tcBorders>
            <w:vAlign w:val="center"/>
          </w:tcPr>
          <w:p w14:paraId="3CF5BA0B">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样本数</w:t>
            </w:r>
          </w:p>
        </w:tc>
        <w:tc>
          <w:tcPr>
            <w:tcW w:w="3333" w:type="pct"/>
            <w:gridSpan w:val="3"/>
            <w:tcBorders>
              <w:top w:val="single" w:color="auto" w:sz="4" w:space="0"/>
            </w:tcBorders>
            <w:vAlign w:val="center"/>
          </w:tcPr>
          <w:p w14:paraId="39EF065F">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二元模型参数值</w:t>
            </w:r>
          </w:p>
        </w:tc>
      </w:tr>
      <w:tr w14:paraId="4F70D9FA">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continue"/>
            <w:tcBorders>
              <w:bottom w:val="single" w:color="auto" w:sz="4" w:space="0"/>
            </w:tcBorders>
            <w:vAlign w:val="center"/>
          </w:tcPr>
          <w:p w14:paraId="674942A0">
            <w:pPr>
              <w:widowControl/>
              <w:jc w:val="center"/>
              <w:rPr>
                <w:rFonts w:hint="eastAsia" w:ascii="宋体" w:hAnsi="宋体" w:cs="宋体"/>
                <w:sz w:val="18"/>
                <w:szCs w:val="18"/>
              </w:rPr>
            </w:pPr>
          </w:p>
        </w:tc>
        <w:tc>
          <w:tcPr>
            <w:tcW w:w="1107" w:type="pct"/>
            <w:tcBorders>
              <w:bottom w:val="single" w:color="auto" w:sz="4" w:space="0"/>
            </w:tcBorders>
            <w:vAlign w:val="center"/>
          </w:tcPr>
          <w:p w14:paraId="008DD5C3">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a</w:t>
            </w:r>
            <w:r>
              <w:rPr>
                <w:rFonts w:hint="eastAsia" w:ascii="宋体" w:hAnsi="宋体" w:cs="宋体"/>
                <w:color w:val="000000"/>
                <w:sz w:val="18"/>
                <w:szCs w:val="18"/>
                <w:vertAlign w:val="subscript"/>
              </w:rPr>
              <w:t>0</w:t>
            </w:r>
          </w:p>
        </w:tc>
        <w:tc>
          <w:tcPr>
            <w:tcW w:w="1097" w:type="pct"/>
            <w:tcBorders>
              <w:bottom w:val="single" w:color="auto" w:sz="4" w:space="0"/>
            </w:tcBorders>
            <w:vAlign w:val="center"/>
          </w:tcPr>
          <w:p w14:paraId="5C4E40F3">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a</w:t>
            </w:r>
            <w:r>
              <w:rPr>
                <w:rFonts w:hint="eastAsia" w:ascii="宋体" w:hAnsi="宋体" w:cs="宋体"/>
                <w:color w:val="000000"/>
                <w:sz w:val="18"/>
                <w:szCs w:val="18"/>
                <w:vertAlign w:val="subscript"/>
              </w:rPr>
              <w:t>1</w:t>
            </w:r>
          </w:p>
        </w:tc>
        <w:tc>
          <w:tcPr>
            <w:tcW w:w="1128" w:type="pct"/>
            <w:tcBorders>
              <w:bottom w:val="single" w:color="auto" w:sz="4" w:space="0"/>
            </w:tcBorders>
            <w:vAlign w:val="center"/>
          </w:tcPr>
          <w:p w14:paraId="411EA370">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a</w:t>
            </w:r>
            <w:r>
              <w:rPr>
                <w:rFonts w:hint="eastAsia" w:ascii="宋体" w:hAnsi="宋体" w:cs="宋体"/>
                <w:color w:val="000000"/>
                <w:sz w:val="18"/>
                <w:szCs w:val="18"/>
                <w:vertAlign w:val="subscript"/>
              </w:rPr>
              <w:t>2</w:t>
            </w:r>
          </w:p>
        </w:tc>
      </w:tr>
      <w:tr w14:paraId="1BBC0C6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Align w:val="center"/>
          </w:tcPr>
          <w:p w14:paraId="376720F1">
            <w:pPr>
              <w:jc w:val="center"/>
              <w:rPr>
                <w:rFonts w:ascii="宋体" w:hAnsi="宋体"/>
                <w:sz w:val="18"/>
                <w:szCs w:val="18"/>
              </w:rPr>
            </w:pPr>
            <w:r>
              <w:rPr>
                <w:rFonts w:ascii="宋体" w:hAnsi="宋体"/>
                <w:sz w:val="18"/>
                <w:szCs w:val="18"/>
              </w:rPr>
              <w:t>126</w:t>
            </w:r>
          </w:p>
        </w:tc>
        <w:tc>
          <w:tcPr>
            <w:tcW w:w="1107" w:type="pct"/>
            <w:vAlign w:val="center"/>
          </w:tcPr>
          <w:p w14:paraId="0A677E38">
            <w:pPr>
              <w:jc w:val="center"/>
              <w:rPr>
                <w:rFonts w:ascii="宋体" w:hAnsi="宋体"/>
                <w:sz w:val="18"/>
                <w:szCs w:val="18"/>
              </w:rPr>
            </w:pPr>
            <w:r>
              <w:rPr>
                <w:rFonts w:ascii="宋体" w:hAnsi="宋体"/>
                <w:sz w:val="18"/>
                <w:szCs w:val="18"/>
              </w:rPr>
              <w:t>0.07240</w:t>
            </w:r>
          </w:p>
        </w:tc>
        <w:tc>
          <w:tcPr>
            <w:tcW w:w="1097" w:type="pct"/>
            <w:vAlign w:val="center"/>
          </w:tcPr>
          <w:p w14:paraId="3F61D474">
            <w:pPr>
              <w:jc w:val="center"/>
              <w:rPr>
                <w:rFonts w:ascii="宋体" w:hAnsi="宋体"/>
                <w:sz w:val="18"/>
                <w:szCs w:val="18"/>
              </w:rPr>
            </w:pPr>
            <w:r>
              <w:rPr>
                <w:rFonts w:ascii="宋体" w:hAnsi="宋体"/>
                <w:sz w:val="18"/>
                <w:szCs w:val="18"/>
              </w:rPr>
              <w:t>2.1850</w:t>
            </w:r>
          </w:p>
        </w:tc>
        <w:tc>
          <w:tcPr>
            <w:tcW w:w="1128" w:type="pct"/>
            <w:vAlign w:val="center"/>
          </w:tcPr>
          <w:p w14:paraId="27204321">
            <w:pPr>
              <w:jc w:val="center"/>
              <w:rPr>
                <w:rFonts w:ascii="宋体" w:hAnsi="宋体"/>
                <w:sz w:val="18"/>
                <w:szCs w:val="18"/>
              </w:rPr>
            </w:pPr>
            <w:r>
              <w:rPr>
                <w:rFonts w:ascii="宋体" w:hAnsi="宋体"/>
                <w:sz w:val="18"/>
                <w:szCs w:val="18"/>
              </w:rPr>
              <w:t>0.5620</w:t>
            </w:r>
          </w:p>
        </w:tc>
      </w:tr>
    </w:tbl>
    <w:p w14:paraId="1835775C">
      <w:pPr>
        <w:spacing w:line="240" w:lineRule="auto"/>
        <w:jc w:val="center"/>
        <w:rPr>
          <w:rFonts w:hint="eastAsia" w:ascii="黑体" w:hAnsi="黑体" w:eastAsia="黑体" w:cs="宋体"/>
        </w:rPr>
      </w:pPr>
    </w:p>
    <w:p w14:paraId="5630BC05">
      <w:pPr>
        <w:spacing w:line="240" w:lineRule="auto"/>
        <w:jc w:val="center"/>
        <w:rPr>
          <w:rFonts w:hint="eastAsia" w:ascii="宋体" w:hAnsi="宋体" w:cs="宋体"/>
        </w:rPr>
      </w:pPr>
      <w:r>
        <w:rPr>
          <w:rFonts w:hint="eastAsia" w:ascii="黑体" w:hAnsi="黑体" w:eastAsia="黑体" w:cs="宋体"/>
        </w:rPr>
        <w:t>表2 地下生物量模型参估计值结果</w:t>
      </w:r>
    </w:p>
    <w:tbl>
      <w:tblPr>
        <w:tblStyle w:val="27"/>
        <w:tblpPr w:leftFromText="180" w:rightFromText="180" w:vertAnchor="text" w:tblpY="1"/>
        <w:tblW w:w="5000"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89"/>
        <w:gridCol w:w="2123"/>
        <w:gridCol w:w="2098"/>
        <w:gridCol w:w="2160"/>
      </w:tblGrid>
      <w:tr w14:paraId="24C3BE3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restart"/>
            <w:tcBorders>
              <w:top w:val="single" w:color="auto" w:sz="4" w:space="0"/>
            </w:tcBorders>
            <w:vAlign w:val="center"/>
          </w:tcPr>
          <w:p w14:paraId="26A9DD1E">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样本数</w:t>
            </w:r>
          </w:p>
        </w:tc>
        <w:tc>
          <w:tcPr>
            <w:tcW w:w="3333" w:type="pct"/>
            <w:gridSpan w:val="3"/>
            <w:tcBorders>
              <w:top w:val="single" w:color="auto" w:sz="4" w:space="0"/>
            </w:tcBorders>
            <w:vAlign w:val="center"/>
          </w:tcPr>
          <w:p w14:paraId="5D947E72">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二元模型参数值</w:t>
            </w:r>
          </w:p>
        </w:tc>
      </w:tr>
      <w:tr w14:paraId="42C3DB0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Merge w:val="continue"/>
            <w:tcBorders>
              <w:bottom w:val="single" w:color="auto" w:sz="4" w:space="0"/>
            </w:tcBorders>
            <w:vAlign w:val="center"/>
          </w:tcPr>
          <w:p w14:paraId="046640C5">
            <w:pPr>
              <w:widowControl/>
              <w:jc w:val="center"/>
              <w:rPr>
                <w:rFonts w:hint="eastAsia" w:ascii="宋体" w:hAnsi="宋体" w:cs="宋体"/>
                <w:sz w:val="18"/>
                <w:szCs w:val="18"/>
              </w:rPr>
            </w:pPr>
          </w:p>
        </w:tc>
        <w:tc>
          <w:tcPr>
            <w:tcW w:w="1109" w:type="pct"/>
            <w:tcBorders>
              <w:bottom w:val="single" w:color="auto" w:sz="4" w:space="0"/>
            </w:tcBorders>
            <w:vAlign w:val="center"/>
          </w:tcPr>
          <w:p w14:paraId="61CF7CC9">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b</w:t>
            </w:r>
            <w:r>
              <w:rPr>
                <w:rFonts w:hint="eastAsia" w:ascii="宋体" w:hAnsi="宋体" w:cs="宋体"/>
                <w:color w:val="000000"/>
                <w:sz w:val="18"/>
                <w:szCs w:val="18"/>
                <w:vertAlign w:val="subscript"/>
              </w:rPr>
              <w:t>0</w:t>
            </w:r>
          </w:p>
        </w:tc>
        <w:tc>
          <w:tcPr>
            <w:tcW w:w="1096" w:type="pct"/>
            <w:tcBorders>
              <w:bottom w:val="single" w:color="auto" w:sz="4" w:space="0"/>
            </w:tcBorders>
            <w:vAlign w:val="center"/>
          </w:tcPr>
          <w:p w14:paraId="6FF32633">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b</w:t>
            </w:r>
            <w:r>
              <w:rPr>
                <w:rFonts w:hint="eastAsia" w:ascii="宋体" w:hAnsi="宋体" w:cs="宋体"/>
                <w:color w:val="000000"/>
                <w:sz w:val="18"/>
                <w:szCs w:val="18"/>
                <w:vertAlign w:val="subscript"/>
              </w:rPr>
              <w:t>1</w:t>
            </w:r>
          </w:p>
        </w:tc>
        <w:tc>
          <w:tcPr>
            <w:tcW w:w="1127" w:type="pct"/>
            <w:tcBorders>
              <w:bottom w:val="single" w:color="auto" w:sz="4" w:space="0"/>
            </w:tcBorders>
            <w:vAlign w:val="center"/>
          </w:tcPr>
          <w:p w14:paraId="5E0D640B">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i/>
                <w:sz w:val="18"/>
                <w:szCs w:val="18"/>
              </w:rPr>
              <w:t>b</w:t>
            </w:r>
            <w:r>
              <w:rPr>
                <w:rFonts w:hint="eastAsia" w:ascii="宋体" w:hAnsi="宋体" w:cs="宋体"/>
                <w:color w:val="000000"/>
                <w:sz w:val="18"/>
                <w:szCs w:val="18"/>
                <w:vertAlign w:val="subscript"/>
              </w:rPr>
              <w:t>2</w:t>
            </w:r>
          </w:p>
        </w:tc>
      </w:tr>
      <w:tr w14:paraId="624BBB07">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666" w:type="pct"/>
            <w:vAlign w:val="center"/>
          </w:tcPr>
          <w:p w14:paraId="6EB67DFF">
            <w:pPr>
              <w:jc w:val="center"/>
              <w:rPr>
                <w:rFonts w:ascii="宋体" w:hAnsi="宋体"/>
                <w:sz w:val="18"/>
                <w:szCs w:val="18"/>
              </w:rPr>
            </w:pPr>
            <w:r>
              <w:rPr>
                <w:rFonts w:ascii="宋体" w:hAnsi="宋体"/>
                <w:sz w:val="18"/>
                <w:szCs w:val="18"/>
              </w:rPr>
              <w:t>98</w:t>
            </w:r>
          </w:p>
        </w:tc>
        <w:tc>
          <w:tcPr>
            <w:tcW w:w="1109" w:type="pct"/>
            <w:vAlign w:val="center"/>
          </w:tcPr>
          <w:p w14:paraId="6A0C9366">
            <w:pPr>
              <w:jc w:val="center"/>
              <w:rPr>
                <w:rFonts w:ascii="宋体" w:hAnsi="宋体"/>
                <w:sz w:val="18"/>
                <w:szCs w:val="18"/>
              </w:rPr>
            </w:pPr>
            <w:r>
              <w:rPr>
                <w:rFonts w:ascii="宋体" w:hAnsi="宋体"/>
                <w:sz w:val="18"/>
                <w:szCs w:val="18"/>
              </w:rPr>
              <w:t>0.01860</w:t>
            </w:r>
          </w:p>
        </w:tc>
        <w:tc>
          <w:tcPr>
            <w:tcW w:w="1096" w:type="pct"/>
            <w:vAlign w:val="center"/>
          </w:tcPr>
          <w:p w14:paraId="7F7FA251">
            <w:pPr>
              <w:jc w:val="center"/>
              <w:rPr>
                <w:rFonts w:ascii="宋体" w:hAnsi="宋体"/>
                <w:sz w:val="18"/>
                <w:szCs w:val="18"/>
              </w:rPr>
            </w:pPr>
            <w:r>
              <w:rPr>
                <w:rFonts w:ascii="宋体" w:hAnsi="宋体"/>
                <w:sz w:val="18"/>
                <w:szCs w:val="18"/>
              </w:rPr>
              <w:t>2.3520</w:t>
            </w:r>
          </w:p>
        </w:tc>
        <w:tc>
          <w:tcPr>
            <w:tcW w:w="1127" w:type="pct"/>
            <w:vAlign w:val="center"/>
          </w:tcPr>
          <w:p w14:paraId="5E82FDB4">
            <w:pPr>
              <w:jc w:val="center"/>
              <w:rPr>
                <w:rFonts w:ascii="宋体" w:hAnsi="宋体"/>
                <w:sz w:val="18"/>
                <w:szCs w:val="18"/>
              </w:rPr>
            </w:pPr>
            <w:r>
              <w:rPr>
                <w:rFonts w:ascii="宋体" w:hAnsi="宋体"/>
                <w:sz w:val="18"/>
                <w:szCs w:val="18"/>
              </w:rPr>
              <w:t>0.3150</w:t>
            </w:r>
          </w:p>
        </w:tc>
      </w:tr>
    </w:tbl>
    <w:p w14:paraId="0E52F72E">
      <w:pPr>
        <w:spacing w:line="240" w:lineRule="auto"/>
        <w:jc w:val="center"/>
        <w:rPr>
          <w:rFonts w:hint="eastAsia" w:ascii="黑体" w:hAnsi="黑体" w:eastAsia="黑体" w:cs="宋体"/>
        </w:rPr>
      </w:pPr>
    </w:p>
    <w:p w14:paraId="1FE147F3">
      <w:pPr>
        <w:spacing w:line="240" w:lineRule="auto"/>
        <w:jc w:val="center"/>
        <w:rPr>
          <w:rFonts w:hint="eastAsia" w:ascii="宋体" w:hAnsi="宋体" w:cs="宋体"/>
        </w:rPr>
      </w:pPr>
      <w:r>
        <w:rPr>
          <w:rFonts w:hint="eastAsia" w:ascii="黑体" w:hAnsi="黑体" w:eastAsia="黑体" w:cs="宋体"/>
        </w:rPr>
        <w:t>表</w:t>
      </w:r>
      <w:r>
        <w:rPr>
          <w:rFonts w:hint="eastAsia" w:ascii="黑体" w:hAnsi="黑体" w:eastAsia="黑体" w:cs="宋体"/>
          <w:kern w:val="0"/>
          <w:szCs w:val="20"/>
        </w:rPr>
        <w:t xml:space="preserve">3 </w:t>
      </w:r>
      <w:r>
        <w:rPr>
          <w:rFonts w:hint="eastAsia" w:ascii="黑体" w:hAnsi="黑体" w:eastAsia="黑体" w:cs="宋体"/>
        </w:rPr>
        <w:t>相容性生物量模型参数估计值结果</w:t>
      </w:r>
    </w:p>
    <w:tbl>
      <w:tblPr>
        <w:tblStyle w:val="27"/>
        <w:tblpPr w:leftFromText="180" w:rightFromText="180" w:vertAnchor="text" w:tblpY="1"/>
        <w:tblW w:w="4999"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6"/>
        <w:gridCol w:w="964"/>
        <w:gridCol w:w="965"/>
        <w:gridCol w:w="965"/>
        <w:gridCol w:w="965"/>
        <w:gridCol w:w="965"/>
        <w:gridCol w:w="965"/>
        <w:gridCol w:w="1041"/>
        <w:gridCol w:w="972"/>
      </w:tblGrid>
      <w:tr w14:paraId="606A5D1F">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Merge w:val="restart"/>
            <w:tcBorders>
              <w:top w:val="single" w:color="auto" w:sz="4" w:space="0"/>
            </w:tcBorders>
            <w:vAlign w:val="center"/>
          </w:tcPr>
          <w:p w14:paraId="2091FD83">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样本数</w:t>
            </w:r>
          </w:p>
        </w:tc>
        <w:tc>
          <w:tcPr>
            <w:tcW w:w="4076" w:type="pct"/>
            <w:gridSpan w:val="8"/>
            <w:tcBorders>
              <w:top w:val="single" w:color="auto" w:sz="4" w:space="0"/>
              <w:bottom w:val="single" w:color="auto" w:sz="4" w:space="0"/>
            </w:tcBorders>
            <w:vAlign w:val="center"/>
          </w:tcPr>
          <w:p w14:paraId="1BB741F7">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参数</w:t>
            </w:r>
          </w:p>
        </w:tc>
      </w:tr>
      <w:tr w14:paraId="7184834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Merge w:val="continue"/>
            <w:tcBorders>
              <w:bottom w:val="single" w:color="auto" w:sz="4" w:space="0"/>
            </w:tcBorders>
            <w:vAlign w:val="center"/>
          </w:tcPr>
          <w:p w14:paraId="6B835789">
            <w:pPr>
              <w:widowControl/>
              <w:jc w:val="center"/>
              <w:rPr>
                <w:rFonts w:hint="eastAsia" w:ascii="宋体" w:hAnsi="宋体" w:cs="宋体"/>
                <w:color w:val="000000" w:themeColor="text1"/>
                <w:kern w:val="0"/>
                <w:sz w:val="18"/>
                <w:szCs w:val="18"/>
                <w14:textFill>
                  <w14:solidFill>
                    <w14:schemeClr w14:val="tx1"/>
                  </w14:solidFill>
                </w14:textFill>
              </w:rPr>
            </w:pPr>
          </w:p>
        </w:tc>
        <w:tc>
          <w:tcPr>
            <w:tcW w:w="504" w:type="pct"/>
            <w:tcBorders>
              <w:top w:val="single" w:color="auto" w:sz="4" w:space="0"/>
              <w:bottom w:val="single" w:color="auto" w:sz="4" w:space="0"/>
            </w:tcBorders>
            <w:vAlign w:val="center"/>
          </w:tcPr>
          <w:p w14:paraId="28C2047A">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sz w:val="18"/>
                <w:szCs w:val="18"/>
              </w:rPr>
              <w:t>c</w:t>
            </w:r>
            <w:r>
              <w:rPr>
                <w:rFonts w:hint="eastAsia" w:ascii="宋体" w:hAnsi="宋体" w:cs="宋体"/>
                <w:color w:val="000000"/>
                <w:sz w:val="18"/>
                <w:szCs w:val="18"/>
                <w:vertAlign w:val="subscript"/>
              </w:rPr>
              <w:t>0</w:t>
            </w:r>
          </w:p>
        </w:tc>
        <w:tc>
          <w:tcPr>
            <w:tcW w:w="504" w:type="pct"/>
            <w:tcBorders>
              <w:top w:val="single" w:color="auto" w:sz="4" w:space="0"/>
              <w:bottom w:val="single" w:color="auto" w:sz="4" w:space="0"/>
            </w:tcBorders>
            <w:vAlign w:val="center"/>
          </w:tcPr>
          <w:p w14:paraId="363290C4">
            <w:pPr>
              <w:widowControl/>
              <w:jc w:val="center"/>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sz w:val="18"/>
                <w:szCs w:val="18"/>
              </w:rPr>
              <w:t>e</w:t>
            </w:r>
            <w:r>
              <w:rPr>
                <w:rFonts w:hint="eastAsia" w:ascii="宋体" w:hAnsi="宋体" w:cs="宋体"/>
                <w:color w:val="000000"/>
                <w:sz w:val="18"/>
                <w:szCs w:val="18"/>
                <w:vertAlign w:val="subscript"/>
              </w:rPr>
              <w:t>0</w:t>
            </w:r>
          </w:p>
        </w:tc>
        <w:tc>
          <w:tcPr>
            <w:tcW w:w="504" w:type="pct"/>
            <w:tcBorders>
              <w:top w:val="single" w:color="auto" w:sz="4" w:space="0"/>
              <w:bottom w:val="single" w:color="auto" w:sz="4" w:space="0"/>
            </w:tcBorders>
            <w:vAlign w:val="center"/>
          </w:tcPr>
          <w:p w14:paraId="4CE87DE1">
            <w:pPr>
              <w:widowControl/>
              <w:jc w:val="center"/>
              <w:rPr>
                <w:rFonts w:hint="eastAsia" w:ascii="宋体" w:hAnsi="宋体" w:cs="宋体"/>
                <w:color w:val="000000"/>
                <w:sz w:val="18"/>
                <w:szCs w:val="18"/>
              </w:rPr>
            </w:pPr>
            <w:r>
              <w:rPr>
                <w:rFonts w:hint="eastAsia" w:ascii="宋体" w:hAnsi="宋体" w:cs="宋体"/>
                <w:color w:val="000000"/>
                <w:sz w:val="18"/>
                <w:szCs w:val="18"/>
              </w:rPr>
              <w:t>r</w:t>
            </w:r>
            <w:r>
              <w:rPr>
                <w:rFonts w:hint="eastAsia" w:ascii="宋体" w:hAnsi="宋体" w:cs="宋体"/>
                <w:color w:val="000000"/>
                <w:sz w:val="18"/>
                <w:szCs w:val="18"/>
                <w:vertAlign w:val="subscript"/>
              </w:rPr>
              <w:t>1</w:t>
            </w:r>
          </w:p>
        </w:tc>
        <w:tc>
          <w:tcPr>
            <w:tcW w:w="504" w:type="pct"/>
            <w:tcBorders>
              <w:top w:val="single" w:color="auto" w:sz="4" w:space="0"/>
              <w:bottom w:val="single" w:color="auto" w:sz="4" w:space="0"/>
            </w:tcBorders>
            <w:vAlign w:val="center"/>
          </w:tcPr>
          <w:p w14:paraId="0E31EFF1">
            <w:pPr>
              <w:widowControl/>
              <w:jc w:val="center"/>
              <w:rPr>
                <w:rFonts w:hint="eastAsia" w:ascii="宋体" w:hAnsi="宋体" w:cs="宋体"/>
                <w:color w:val="000000"/>
                <w:sz w:val="18"/>
                <w:szCs w:val="18"/>
              </w:rPr>
            </w:pPr>
            <w:r>
              <w:rPr>
                <w:rFonts w:hint="eastAsia" w:ascii="宋体" w:hAnsi="宋体" w:cs="宋体"/>
                <w:color w:val="000000"/>
                <w:sz w:val="18"/>
                <w:szCs w:val="18"/>
              </w:rPr>
              <w:t>r</w:t>
            </w:r>
            <w:r>
              <w:rPr>
                <w:rFonts w:hint="eastAsia" w:ascii="宋体" w:hAnsi="宋体" w:cs="宋体"/>
                <w:color w:val="000000"/>
                <w:sz w:val="18"/>
                <w:szCs w:val="18"/>
                <w:vertAlign w:val="subscript"/>
              </w:rPr>
              <w:t>2</w:t>
            </w:r>
          </w:p>
        </w:tc>
        <w:tc>
          <w:tcPr>
            <w:tcW w:w="504" w:type="pct"/>
            <w:tcBorders>
              <w:top w:val="single" w:color="auto" w:sz="4" w:space="0"/>
              <w:bottom w:val="single" w:color="auto" w:sz="4" w:space="0"/>
            </w:tcBorders>
            <w:vAlign w:val="center"/>
          </w:tcPr>
          <w:p w14:paraId="2CCEA3CE">
            <w:pPr>
              <w:widowControl/>
              <w:jc w:val="center"/>
              <w:rPr>
                <w:rFonts w:hint="eastAsia" w:ascii="宋体" w:hAnsi="宋体" w:cs="宋体"/>
                <w:color w:val="000000"/>
                <w:sz w:val="18"/>
                <w:szCs w:val="18"/>
              </w:rPr>
            </w:pPr>
            <w:r>
              <w:rPr>
                <w:rFonts w:hint="eastAsia" w:ascii="宋体" w:hAnsi="宋体" w:cs="宋体"/>
                <w:color w:val="000000"/>
                <w:sz w:val="18"/>
                <w:szCs w:val="18"/>
              </w:rPr>
              <w:t>r</w:t>
            </w:r>
            <w:r>
              <w:rPr>
                <w:rFonts w:hint="eastAsia" w:ascii="宋体" w:hAnsi="宋体" w:cs="宋体"/>
                <w:color w:val="000000"/>
                <w:sz w:val="18"/>
                <w:szCs w:val="18"/>
                <w:vertAlign w:val="subscript"/>
              </w:rPr>
              <w:t>3</w:t>
            </w:r>
          </w:p>
        </w:tc>
        <w:tc>
          <w:tcPr>
            <w:tcW w:w="504" w:type="pct"/>
            <w:tcBorders>
              <w:top w:val="single" w:color="auto" w:sz="4" w:space="0"/>
              <w:bottom w:val="single" w:color="auto" w:sz="4" w:space="0"/>
            </w:tcBorders>
            <w:vAlign w:val="center"/>
          </w:tcPr>
          <w:p w14:paraId="0E6ED29B">
            <w:pPr>
              <w:widowControl/>
              <w:jc w:val="center"/>
              <w:rPr>
                <w:rFonts w:hint="eastAsia" w:ascii="宋体" w:hAnsi="宋体" w:cs="宋体"/>
                <w:color w:val="000000"/>
                <w:sz w:val="18"/>
                <w:szCs w:val="18"/>
              </w:rPr>
            </w:pPr>
            <w:r>
              <w:rPr>
                <w:rFonts w:hint="eastAsia" w:ascii="宋体" w:hAnsi="宋体" w:cs="宋体"/>
                <w:color w:val="000000"/>
                <w:sz w:val="18"/>
                <w:szCs w:val="18"/>
              </w:rPr>
              <w:t>k</w:t>
            </w:r>
            <w:r>
              <w:rPr>
                <w:rFonts w:hint="eastAsia" w:ascii="宋体" w:hAnsi="宋体" w:cs="宋体"/>
                <w:color w:val="000000"/>
                <w:sz w:val="18"/>
                <w:szCs w:val="18"/>
                <w:vertAlign w:val="subscript"/>
              </w:rPr>
              <w:t>1</w:t>
            </w:r>
          </w:p>
        </w:tc>
        <w:tc>
          <w:tcPr>
            <w:tcW w:w="544" w:type="pct"/>
            <w:tcBorders>
              <w:top w:val="single" w:color="auto" w:sz="4" w:space="0"/>
              <w:bottom w:val="single" w:color="auto" w:sz="4" w:space="0"/>
            </w:tcBorders>
            <w:vAlign w:val="center"/>
          </w:tcPr>
          <w:p w14:paraId="4C9243B3">
            <w:pPr>
              <w:widowControl/>
              <w:jc w:val="center"/>
              <w:rPr>
                <w:rFonts w:hint="eastAsia" w:ascii="宋体" w:hAnsi="宋体" w:cs="宋体"/>
                <w:color w:val="000000"/>
                <w:sz w:val="18"/>
                <w:szCs w:val="18"/>
              </w:rPr>
            </w:pPr>
            <w:r>
              <w:rPr>
                <w:rFonts w:hint="eastAsia" w:ascii="宋体" w:hAnsi="宋体" w:cs="宋体"/>
                <w:color w:val="000000"/>
                <w:sz w:val="18"/>
                <w:szCs w:val="18"/>
              </w:rPr>
              <w:t>k</w:t>
            </w:r>
            <w:r>
              <w:rPr>
                <w:rFonts w:hint="eastAsia" w:ascii="宋体" w:hAnsi="宋体" w:cs="宋体"/>
                <w:color w:val="000000"/>
                <w:sz w:val="18"/>
                <w:szCs w:val="18"/>
                <w:vertAlign w:val="subscript"/>
              </w:rPr>
              <w:t>2</w:t>
            </w:r>
          </w:p>
        </w:tc>
        <w:tc>
          <w:tcPr>
            <w:tcW w:w="506" w:type="pct"/>
            <w:tcBorders>
              <w:top w:val="single" w:color="auto" w:sz="4" w:space="0"/>
              <w:bottom w:val="single" w:color="auto" w:sz="4" w:space="0"/>
            </w:tcBorders>
            <w:vAlign w:val="center"/>
          </w:tcPr>
          <w:p w14:paraId="223BF721">
            <w:pPr>
              <w:widowControl/>
              <w:jc w:val="center"/>
              <w:rPr>
                <w:rFonts w:hint="eastAsia" w:ascii="宋体" w:hAnsi="宋体" w:cs="宋体"/>
                <w:color w:val="000000"/>
                <w:sz w:val="18"/>
                <w:szCs w:val="18"/>
              </w:rPr>
            </w:pPr>
            <w:r>
              <w:rPr>
                <w:rFonts w:hint="eastAsia" w:ascii="宋体" w:hAnsi="宋体" w:cs="宋体"/>
                <w:color w:val="000000"/>
                <w:sz w:val="18"/>
                <w:szCs w:val="18"/>
              </w:rPr>
              <w:t>k</w:t>
            </w:r>
            <w:r>
              <w:rPr>
                <w:rFonts w:hint="eastAsia" w:ascii="宋体" w:hAnsi="宋体" w:cs="宋体"/>
                <w:color w:val="000000"/>
                <w:sz w:val="18"/>
                <w:szCs w:val="18"/>
                <w:vertAlign w:val="subscript"/>
              </w:rPr>
              <w:t>3</w:t>
            </w:r>
          </w:p>
        </w:tc>
      </w:tr>
      <w:tr w14:paraId="3B1B723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23" w:type="pct"/>
            <w:vAlign w:val="center"/>
          </w:tcPr>
          <w:p w14:paraId="03AE2AC5">
            <w:pPr>
              <w:jc w:val="center"/>
              <w:rPr>
                <w:rFonts w:ascii="宋体" w:hAnsi="宋体"/>
                <w:sz w:val="18"/>
                <w:szCs w:val="18"/>
              </w:rPr>
            </w:pPr>
            <w:r>
              <w:rPr>
                <w:rFonts w:ascii="宋体" w:hAnsi="宋体"/>
                <w:sz w:val="18"/>
                <w:szCs w:val="18"/>
              </w:rPr>
              <w:t>85</w:t>
            </w:r>
          </w:p>
        </w:tc>
        <w:tc>
          <w:tcPr>
            <w:tcW w:w="504" w:type="pct"/>
            <w:vAlign w:val="center"/>
          </w:tcPr>
          <w:p w14:paraId="4BAB7C8A">
            <w:pPr>
              <w:jc w:val="center"/>
              <w:rPr>
                <w:rFonts w:ascii="宋体" w:hAnsi="宋体"/>
                <w:sz w:val="18"/>
                <w:szCs w:val="18"/>
              </w:rPr>
            </w:pPr>
            <w:r>
              <w:rPr>
                <w:rFonts w:ascii="宋体" w:hAnsi="宋体"/>
                <w:sz w:val="18"/>
                <w:szCs w:val="18"/>
              </w:rPr>
              <w:t>0.0892</w:t>
            </w:r>
          </w:p>
        </w:tc>
        <w:tc>
          <w:tcPr>
            <w:tcW w:w="504" w:type="pct"/>
            <w:vAlign w:val="center"/>
          </w:tcPr>
          <w:p w14:paraId="0CD5A416">
            <w:pPr>
              <w:jc w:val="center"/>
              <w:rPr>
                <w:rFonts w:ascii="宋体" w:hAnsi="宋体"/>
                <w:sz w:val="18"/>
                <w:szCs w:val="18"/>
              </w:rPr>
            </w:pPr>
            <w:r>
              <w:rPr>
                <w:rFonts w:ascii="宋体" w:hAnsi="宋体"/>
                <w:sz w:val="18"/>
                <w:szCs w:val="18"/>
              </w:rPr>
              <w:t>2.4216</w:t>
            </w:r>
          </w:p>
        </w:tc>
        <w:tc>
          <w:tcPr>
            <w:tcW w:w="504" w:type="pct"/>
            <w:vAlign w:val="center"/>
          </w:tcPr>
          <w:p w14:paraId="7B048D52">
            <w:pPr>
              <w:jc w:val="center"/>
              <w:rPr>
                <w:rFonts w:ascii="宋体" w:hAnsi="宋体"/>
                <w:sz w:val="18"/>
                <w:szCs w:val="18"/>
              </w:rPr>
            </w:pPr>
            <w:r>
              <w:rPr>
                <w:rFonts w:ascii="宋体" w:hAnsi="宋体"/>
                <w:sz w:val="18"/>
                <w:szCs w:val="18"/>
              </w:rPr>
              <w:t>0.2140</w:t>
            </w:r>
          </w:p>
        </w:tc>
        <w:tc>
          <w:tcPr>
            <w:tcW w:w="504" w:type="pct"/>
            <w:vAlign w:val="center"/>
          </w:tcPr>
          <w:p w14:paraId="78AE7EDE">
            <w:pPr>
              <w:jc w:val="center"/>
              <w:rPr>
                <w:rFonts w:ascii="宋体" w:hAnsi="宋体"/>
                <w:sz w:val="18"/>
                <w:szCs w:val="18"/>
              </w:rPr>
            </w:pPr>
            <w:r>
              <w:rPr>
                <w:rFonts w:ascii="宋体" w:hAnsi="宋体"/>
                <w:sz w:val="18"/>
                <w:szCs w:val="18"/>
              </w:rPr>
              <w:t>0.0523</w:t>
            </w:r>
          </w:p>
        </w:tc>
        <w:tc>
          <w:tcPr>
            <w:tcW w:w="504" w:type="pct"/>
            <w:vAlign w:val="center"/>
          </w:tcPr>
          <w:p w14:paraId="5946030F">
            <w:pPr>
              <w:jc w:val="center"/>
              <w:rPr>
                <w:rFonts w:ascii="宋体" w:hAnsi="宋体"/>
                <w:sz w:val="18"/>
                <w:szCs w:val="18"/>
              </w:rPr>
            </w:pPr>
            <w:r>
              <w:rPr>
                <w:rFonts w:ascii="宋体" w:hAnsi="宋体"/>
                <w:sz w:val="18"/>
                <w:szCs w:val="18"/>
              </w:rPr>
              <w:t>0.1680</w:t>
            </w:r>
          </w:p>
        </w:tc>
        <w:tc>
          <w:tcPr>
            <w:tcW w:w="504" w:type="pct"/>
            <w:vAlign w:val="center"/>
          </w:tcPr>
          <w:p w14:paraId="6DF02C64">
            <w:pPr>
              <w:jc w:val="center"/>
              <w:rPr>
                <w:rFonts w:ascii="宋体" w:hAnsi="宋体"/>
                <w:sz w:val="18"/>
                <w:szCs w:val="18"/>
              </w:rPr>
            </w:pPr>
            <w:r>
              <w:rPr>
                <w:rFonts w:ascii="宋体" w:hAnsi="宋体"/>
                <w:sz w:val="18"/>
                <w:szCs w:val="18"/>
              </w:rPr>
              <w:t>0.3420</w:t>
            </w:r>
          </w:p>
        </w:tc>
        <w:tc>
          <w:tcPr>
            <w:tcW w:w="544" w:type="pct"/>
            <w:vAlign w:val="center"/>
          </w:tcPr>
          <w:p w14:paraId="31E3DF48">
            <w:pPr>
              <w:jc w:val="center"/>
              <w:rPr>
                <w:rFonts w:ascii="宋体" w:hAnsi="宋体"/>
                <w:sz w:val="18"/>
                <w:szCs w:val="18"/>
              </w:rPr>
            </w:pPr>
            <w:r>
              <w:rPr>
                <w:rFonts w:ascii="宋体" w:hAnsi="宋体"/>
                <w:sz w:val="18"/>
                <w:szCs w:val="18"/>
              </w:rPr>
              <w:t>-0.4580</w:t>
            </w:r>
          </w:p>
        </w:tc>
        <w:tc>
          <w:tcPr>
            <w:tcW w:w="506" w:type="pct"/>
            <w:vAlign w:val="center"/>
          </w:tcPr>
          <w:p w14:paraId="0DF996D0">
            <w:pPr>
              <w:jc w:val="center"/>
              <w:rPr>
                <w:rFonts w:ascii="宋体" w:hAnsi="宋体"/>
                <w:sz w:val="18"/>
                <w:szCs w:val="18"/>
              </w:rPr>
            </w:pPr>
            <w:r>
              <w:rPr>
                <w:rFonts w:ascii="宋体" w:hAnsi="宋体"/>
                <w:sz w:val="18"/>
                <w:szCs w:val="18"/>
              </w:rPr>
              <w:t>0.2050</w:t>
            </w:r>
          </w:p>
        </w:tc>
      </w:tr>
    </w:tbl>
    <w:p w14:paraId="26FA95B5">
      <w:pPr>
        <w:pStyle w:val="106"/>
        <w:spacing w:before="120" w:after="120"/>
        <w:rPr>
          <w:rFonts w:ascii="Times New Roman"/>
        </w:rPr>
      </w:pPr>
      <w:bookmarkStart w:id="58" w:name="_Toc11093"/>
      <w:r>
        <w:rPr>
          <w:rFonts w:ascii="Times New Roman"/>
        </w:rPr>
        <w:t>模型</w:t>
      </w:r>
      <w:r>
        <w:rPr>
          <w:rFonts w:hint="eastAsia" w:ascii="Times New Roman"/>
        </w:rPr>
        <w:t>评价指标</w:t>
      </w:r>
      <w:bookmarkEnd w:id="58"/>
    </w:p>
    <w:p w14:paraId="764E0AC8">
      <w:pPr>
        <w:pStyle w:val="231"/>
        <w:rPr>
          <w:rFonts w:hint="eastAsia" w:hAnsi="宋体" w:cs="宋体"/>
        </w:rPr>
      </w:pPr>
      <w:r>
        <w:rPr>
          <w:rFonts w:hint="eastAsia" w:hAnsi="宋体" w:cs="宋体"/>
        </w:rPr>
        <w:t>生物量模型的评价指标见表4、表5、表6。</w:t>
      </w:r>
    </w:p>
    <w:p w14:paraId="2B00862E">
      <w:pPr>
        <w:pStyle w:val="231"/>
        <w:ind w:firstLine="0" w:firstLineChars="0"/>
        <w:jc w:val="center"/>
        <w:rPr>
          <w:rFonts w:hint="eastAsia" w:ascii="黑体" w:hAnsi="黑体" w:eastAsia="黑体" w:cs="宋体"/>
          <w:szCs w:val="21"/>
        </w:rPr>
      </w:pPr>
    </w:p>
    <w:p w14:paraId="4E285F5D">
      <w:pPr>
        <w:pStyle w:val="231"/>
        <w:ind w:firstLine="0" w:firstLineChars="0"/>
        <w:jc w:val="center"/>
        <w:rPr>
          <w:rFonts w:hint="eastAsia" w:hAnsi="宋体" w:cs="宋体"/>
          <w:szCs w:val="21"/>
        </w:rPr>
      </w:pPr>
      <w:r>
        <w:rPr>
          <w:rFonts w:hint="eastAsia" w:ascii="黑体" w:hAnsi="黑体" w:eastAsia="黑体" w:cs="宋体"/>
          <w:szCs w:val="21"/>
        </w:rPr>
        <w:t>表4 地上生物量模型的评价指标</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376"/>
        <w:gridCol w:w="1728"/>
        <w:gridCol w:w="1443"/>
        <w:gridCol w:w="1795"/>
        <w:gridCol w:w="1456"/>
      </w:tblGrid>
      <w:tr w14:paraId="4185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Merge w:val="restart"/>
            <w:vAlign w:val="center"/>
          </w:tcPr>
          <w:p w14:paraId="7DDF45A7">
            <w:pPr>
              <w:jc w:val="center"/>
              <w:rPr>
                <w:rFonts w:hint="eastAsia" w:ascii="宋体" w:hAnsi="宋体"/>
                <w:kern w:val="0"/>
                <w:sz w:val="18"/>
                <w:szCs w:val="18"/>
              </w:rPr>
            </w:pPr>
            <w:r>
              <w:rPr>
                <w:rFonts w:hint="eastAsia" w:ascii="宋体" w:hAnsi="宋体"/>
                <w:kern w:val="0"/>
                <w:sz w:val="18"/>
                <w:szCs w:val="18"/>
              </w:rPr>
              <w:t>样本数</w:t>
            </w:r>
          </w:p>
        </w:tc>
        <w:tc>
          <w:tcPr>
            <w:tcW w:w="4074" w:type="pct"/>
            <w:gridSpan w:val="5"/>
            <w:vAlign w:val="center"/>
          </w:tcPr>
          <w:p w14:paraId="798013D2">
            <w:pPr>
              <w:jc w:val="center"/>
              <w:rPr>
                <w:rFonts w:hint="eastAsia" w:ascii="宋体" w:hAnsi="宋体"/>
                <w:kern w:val="0"/>
                <w:sz w:val="18"/>
                <w:szCs w:val="18"/>
              </w:rPr>
            </w:pPr>
            <w:r>
              <w:rPr>
                <w:rFonts w:hint="eastAsia" w:ascii="宋体" w:hAnsi="宋体"/>
                <w:kern w:val="0"/>
                <w:sz w:val="18"/>
                <w:szCs w:val="18"/>
              </w:rPr>
              <w:t>模型检验指标</w:t>
            </w:r>
          </w:p>
        </w:tc>
      </w:tr>
      <w:tr w14:paraId="5BD0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 w:type="pct"/>
            <w:vMerge w:val="continue"/>
            <w:vAlign w:val="center"/>
          </w:tcPr>
          <w:p w14:paraId="349077D1">
            <w:pPr>
              <w:jc w:val="center"/>
              <w:rPr>
                <w:rFonts w:hint="eastAsia" w:ascii="宋体" w:hAnsi="宋体"/>
                <w:kern w:val="0"/>
                <w:sz w:val="18"/>
                <w:szCs w:val="18"/>
              </w:rPr>
            </w:pPr>
          </w:p>
        </w:tc>
        <w:tc>
          <w:tcPr>
            <w:tcW w:w="719" w:type="pct"/>
            <w:vAlign w:val="center"/>
          </w:tcPr>
          <w:p w14:paraId="255149C5">
            <w:pPr>
              <w:jc w:val="center"/>
              <w:rPr>
                <w:rFonts w:hint="eastAsia" w:ascii="宋体" w:hAnsi="宋体"/>
                <w:kern w:val="0"/>
                <w:sz w:val="18"/>
                <w:szCs w:val="18"/>
              </w:rPr>
            </w:pPr>
            <w:r>
              <w:rPr>
                <w:rFonts w:ascii="宋体" w:hAnsi="宋体"/>
                <w:kern w:val="0"/>
                <w:sz w:val="18"/>
                <w:szCs w:val="18"/>
              </w:rPr>
              <w:t>MPE</w:t>
            </w:r>
          </w:p>
        </w:tc>
        <w:tc>
          <w:tcPr>
            <w:tcW w:w="903" w:type="pct"/>
            <w:vAlign w:val="center"/>
          </w:tcPr>
          <w:p w14:paraId="3A87D0ED">
            <w:pPr>
              <w:jc w:val="center"/>
              <w:rPr>
                <w:rFonts w:hint="eastAsia" w:ascii="宋体" w:hAnsi="宋体"/>
                <w:kern w:val="0"/>
                <w:sz w:val="18"/>
                <w:szCs w:val="18"/>
              </w:rPr>
            </w:pPr>
            <w:r>
              <w:rPr>
                <w:rFonts w:ascii="宋体" w:hAnsi="宋体"/>
                <w:kern w:val="0"/>
                <w:sz w:val="18"/>
                <w:szCs w:val="18"/>
              </w:rPr>
              <w:t>MPE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54" w:type="pct"/>
            <w:vAlign w:val="center"/>
          </w:tcPr>
          <w:p w14:paraId="0766DD15">
            <w:pPr>
              <w:jc w:val="center"/>
              <w:rPr>
                <w:rFonts w:hint="eastAsia" w:ascii="宋体" w:hAnsi="宋体"/>
                <w:kern w:val="0"/>
                <w:sz w:val="18"/>
                <w:szCs w:val="18"/>
              </w:rPr>
            </w:pPr>
            <w:r>
              <w:rPr>
                <w:rFonts w:ascii="宋体" w:hAnsi="宋体"/>
                <w:kern w:val="0"/>
                <w:sz w:val="18"/>
                <w:szCs w:val="18"/>
              </w:rPr>
              <w:t>MAE</w:t>
            </w:r>
          </w:p>
        </w:tc>
        <w:tc>
          <w:tcPr>
            <w:tcW w:w="938" w:type="pct"/>
            <w:vAlign w:val="center"/>
          </w:tcPr>
          <w:p w14:paraId="103C1EF6">
            <w:pPr>
              <w:jc w:val="center"/>
              <w:rPr>
                <w:rFonts w:hint="eastAsia" w:ascii="宋体" w:hAnsi="宋体"/>
                <w:kern w:val="0"/>
                <w:sz w:val="18"/>
                <w:szCs w:val="18"/>
              </w:rPr>
            </w:pPr>
            <w:r>
              <w:rPr>
                <w:rFonts w:ascii="宋体" w:hAnsi="宋体"/>
                <w:kern w:val="0"/>
                <w:sz w:val="18"/>
                <w:szCs w:val="18"/>
              </w:rPr>
              <w:t>MAE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60" w:type="pct"/>
            <w:vAlign w:val="center"/>
          </w:tcPr>
          <w:p w14:paraId="6D7C7CE9">
            <w:pPr>
              <w:jc w:val="center"/>
              <w:rPr>
                <w:rFonts w:hint="eastAsia" w:ascii="宋体" w:hAnsi="宋体"/>
                <w:i/>
                <w:iCs/>
                <w:kern w:val="0"/>
                <w:sz w:val="18"/>
                <w:szCs w:val="18"/>
              </w:rPr>
            </w:pPr>
            <w:r>
              <w:rPr>
                <w:rFonts w:hint="eastAsia" w:ascii="宋体" w:hAnsi="宋体"/>
                <w:kern w:val="0"/>
                <w:sz w:val="18"/>
                <w:szCs w:val="18"/>
              </w:rPr>
              <w:t>精度（</w:t>
            </w:r>
            <w:r>
              <w:rPr>
                <w:rFonts w:ascii="宋体" w:hAnsi="宋体"/>
                <w:kern w:val="0"/>
                <w:sz w:val="18"/>
                <w:szCs w:val="18"/>
              </w:rPr>
              <w:t>%</w:t>
            </w:r>
            <w:r>
              <w:rPr>
                <w:rFonts w:hint="eastAsia" w:ascii="宋体" w:hAnsi="宋体"/>
                <w:kern w:val="0"/>
                <w:sz w:val="18"/>
                <w:szCs w:val="18"/>
              </w:rPr>
              <w:t>）</w:t>
            </w:r>
          </w:p>
        </w:tc>
      </w:tr>
      <w:tr w14:paraId="046A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Align w:val="center"/>
          </w:tcPr>
          <w:p w14:paraId="77BAD5AF">
            <w:pPr>
              <w:jc w:val="center"/>
              <w:rPr>
                <w:rFonts w:ascii="宋体" w:hAnsi="宋体"/>
                <w:sz w:val="18"/>
                <w:szCs w:val="18"/>
              </w:rPr>
            </w:pPr>
            <w:r>
              <w:rPr>
                <w:rFonts w:ascii="宋体" w:hAnsi="宋体"/>
                <w:sz w:val="18"/>
                <w:szCs w:val="18"/>
              </w:rPr>
              <w:t>126</w:t>
            </w:r>
          </w:p>
        </w:tc>
        <w:tc>
          <w:tcPr>
            <w:tcW w:w="719" w:type="pct"/>
            <w:vAlign w:val="center"/>
          </w:tcPr>
          <w:p w14:paraId="55A48E1D">
            <w:pPr>
              <w:jc w:val="center"/>
              <w:rPr>
                <w:rFonts w:ascii="宋体" w:hAnsi="宋体"/>
                <w:sz w:val="18"/>
                <w:szCs w:val="18"/>
              </w:rPr>
            </w:pPr>
            <w:r>
              <w:rPr>
                <w:rFonts w:ascii="宋体" w:hAnsi="宋体"/>
                <w:sz w:val="18"/>
                <w:szCs w:val="18"/>
              </w:rPr>
              <w:t>2.64</w:t>
            </w:r>
          </w:p>
        </w:tc>
        <w:tc>
          <w:tcPr>
            <w:tcW w:w="903" w:type="pct"/>
            <w:vAlign w:val="center"/>
          </w:tcPr>
          <w:p w14:paraId="24ECCBF9">
            <w:pPr>
              <w:jc w:val="center"/>
              <w:rPr>
                <w:rFonts w:ascii="宋体" w:hAnsi="宋体"/>
                <w:sz w:val="18"/>
                <w:szCs w:val="18"/>
              </w:rPr>
            </w:pPr>
            <w:r>
              <w:rPr>
                <w:rFonts w:ascii="宋体" w:hAnsi="宋体"/>
                <w:sz w:val="18"/>
                <w:szCs w:val="18"/>
              </w:rPr>
              <w:t>5.20</w:t>
            </w:r>
          </w:p>
        </w:tc>
        <w:tc>
          <w:tcPr>
            <w:tcW w:w="754" w:type="pct"/>
            <w:vAlign w:val="center"/>
          </w:tcPr>
          <w:p w14:paraId="2B59D657">
            <w:pPr>
              <w:jc w:val="center"/>
              <w:rPr>
                <w:rFonts w:ascii="宋体" w:hAnsi="宋体"/>
                <w:sz w:val="18"/>
                <w:szCs w:val="18"/>
              </w:rPr>
            </w:pPr>
            <w:r>
              <w:rPr>
                <w:rFonts w:ascii="宋体" w:hAnsi="宋体"/>
                <w:sz w:val="18"/>
                <w:szCs w:val="18"/>
              </w:rPr>
              <w:t>-1.32</w:t>
            </w:r>
          </w:p>
        </w:tc>
        <w:tc>
          <w:tcPr>
            <w:tcW w:w="938" w:type="pct"/>
            <w:vAlign w:val="center"/>
          </w:tcPr>
          <w:p w14:paraId="30809B00">
            <w:pPr>
              <w:jc w:val="center"/>
              <w:rPr>
                <w:rFonts w:ascii="宋体" w:hAnsi="宋体"/>
                <w:sz w:val="18"/>
                <w:szCs w:val="18"/>
              </w:rPr>
            </w:pPr>
            <w:r>
              <w:rPr>
                <w:rFonts w:ascii="宋体" w:hAnsi="宋体"/>
                <w:sz w:val="18"/>
                <w:szCs w:val="18"/>
              </w:rPr>
              <w:t>9.45</w:t>
            </w:r>
          </w:p>
        </w:tc>
        <w:tc>
          <w:tcPr>
            <w:tcW w:w="760" w:type="pct"/>
            <w:vAlign w:val="center"/>
          </w:tcPr>
          <w:p w14:paraId="50C72F35">
            <w:pPr>
              <w:jc w:val="center"/>
              <w:rPr>
                <w:rFonts w:ascii="宋体" w:hAnsi="宋体"/>
                <w:sz w:val="18"/>
                <w:szCs w:val="18"/>
              </w:rPr>
            </w:pPr>
            <w:r>
              <w:rPr>
                <w:rFonts w:ascii="宋体" w:hAnsi="宋体"/>
                <w:sz w:val="18"/>
                <w:szCs w:val="18"/>
              </w:rPr>
              <w:t>92.3</w:t>
            </w:r>
          </w:p>
        </w:tc>
      </w:tr>
    </w:tbl>
    <w:p w14:paraId="14248164">
      <w:pPr>
        <w:spacing w:line="240" w:lineRule="auto"/>
        <w:jc w:val="center"/>
        <w:rPr>
          <w:rFonts w:hint="eastAsia" w:ascii="黑体" w:hAnsi="黑体" w:eastAsia="黑体" w:cs="宋体"/>
        </w:rPr>
      </w:pPr>
    </w:p>
    <w:p w14:paraId="5784A109">
      <w:pPr>
        <w:spacing w:line="240" w:lineRule="auto"/>
        <w:jc w:val="center"/>
        <w:rPr>
          <w:rFonts w:hint="eastAsia" w:hAnsi="宋体" w:cs="宋体"/>
        </w:rPr>
      </w:pPr>
      <w:r>
        <w:rPr>
          <w:rFonts w:hint="eastAsia" w:ascii="黑体" w:hAnsi="黑体" w:eastAsia="黑体" w:cs="宋体"/>
        </w:rPr>
        <w:t>表5 地下生物量模型的评价指标</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376"/>
        <w:gridCol w:w="1728"/>
        <w:gridCol w:w="1443"/>
        <w:gridCol w:w="1795"/>
        <w:gridCol w:w="1456"/>
      </w:tblGrid>
      <w:tr w14:paraId="4A0B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Merge w:val="restart"/>
            <w:vAlign w:val="center"/>
          </w:tcPr>
          <w:p w14:paraId="1622A998">
            <w:pPr>
              <w:jc w:val="center"/>
              <w:rPr>
                <w:rFonts w:hint="eastAsia" w:ascii="宋体" w:hAnsi="宋体"/>
                <w:kern w:val="0"/>
                <w:sz w:val="18"/>
                <w:szCs w:val="18"/>
              </w:rPr>
            </w:pPr>
            <w:r>
              <w:rPr>
                <w:rFonts w:hint="eastAsia" w:ascii="宋体" w:hAnsi="宋体"/>
                <w:kern w:val="0"/>
                <w:sz w:val="18"/>
                <w:szCs w:val="18"/>
              </w:rPr>
              <w:t>样本数</w:t>
            </w:r>
          </w:p>
        </w:tc>
        <w:tc>
          <w:tcPr>
            <w:tcW w:w="4074" w:type="pct"/>
            <w:gridSpan w:val="5"/>
            <w:vAlign w:val="center"/>
          </w:tcPr>
          <w:p w14:paraId="4AD0DF18">
            <w:pPr>
              <w:jc w:val="center"/>
              <w:rPr>
                <w:rFonts w:hint="eastAsia" w:ascii="宋体" w:hAnsi="宋体"/>
                <w:kern w:val="0"/>
                <w:sz w:val="18"/>
                <w:szCs w:val="18"/>
              </w:rPr>
            </w:pPr>
            <w:r>
              <w:rPr>
                <w:rFonts w:hint="eastAsia" w:ascii="宋体" w:hAnsi="宋体"/>
                <w:kern w:val="0"/>
                <w:sz w:val="18"/>
                <w:szCs w:val="18"/>
              </w:rPr>
              <w:t>模型检验指标</w:t>
            </w:r>
          </w:p>
        </w:tc>
      </w:tr>
      <w:tr w14:paraId="4823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6" w:type="pct"/>
            <w:vMerge w:val="continue"/>
            <w:vAlign w:val="center"/>
          </w:tcPr>
          <w:p w14:paraId="36954A82">
            <w:pPr>
              <w:jc w:val="center"/>
              <w:rPr>
                <w:rFonts w:hint="eastAsia" w:ascii="宋体" w:hAnsi="宋体"/>
                <w:kern w:val="0"/>
                <w:sz w:val="18"/>
                <w:szCs w:val="18"/>
              </w:rPr>
            </w:pPr>
          </w:p>
        </w:tc>
        <w:tc>
          <w:tcPr>
            <w:tcW w:w="1376" w:type="dxa"/>
            <w:vAlign w:val="center"/>
          </w:tcPr>
          <w:p w14:paraId="18582875">
            <w:pPr>
              <w:jc w:val="center"/>
              <w:rPr>
                <w:rFonts w:hint="eastAsia" w:ascii="宋体" w:hAnsi="宋体"/>
                <w:kern w:val="0"/>
                <w:sz w:val="18"/>
                <w:szCs w:val="18"/>
              </w:rPr>
            </w:pPr>
            <w:r>
              <w:rPr>
                <w:rFonts w:ascii="宋体" w:hAnsi="宋体"/>
                <w:kern w:val="0"/>
                <w:sz w:val="18"/>
                <w:szCs w:val="18"/>
              </w:rPr>
              <w:t>MPE</w:t>
            </w:r>
          </w:p>
        </w:tc>
        <w:tc>
          <w:tcPr>
            <w:tcW w:w="1728" w:type="dxa"/>
            <w:vAlign w:val="center"/>
          </w:tcPr>
          <w:p w14:paraId="0914D212">
            <w:pPr>
              <w:jc w:val="center"/>
              <w:rPr>
                <w:rFonts w:hint="eastAsia" w:ascii="宋体" w:hAnsi="宋体"/>
                <w:kern w:val="0"/>
                <w:sz w:val="18"/>
                <w:szCs w:val="18"/>
              </w:rPr>
            </w:pPr>
            <w:r>
              <w:rPr>
                <w:rFonts w:ascii="宋体" w:hAnsi="宋体"/>
                <w:kern w:val="0"/>
                <w:sz w:val="18"/>
                <w:szCs w:val="18"/>
              </w:rPr>
              <w:t>MPE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1443" w:type="dxa"/>
            <w:vAlign w:val="center"/>
          </w:tcPr>
          <w:p w14:paraId="7ECBAD8A">
            <w:pPr>
              <w:jc w:val="center"/>
              <w:rPr>
                <w:rFonts w:hint="eastAsia" w:ascii="宋体" w:hAnsi="宋体"/>
                <w:kern w:val="0"/>
                <w:sz w:val="18"/>
                <w:szCs w:val="18"/>
              </w:rPr>
            </w:pPr>
            <w:r>
              <w:rPr>
                <w:rFonts w:ascii="宋体" w:hAnsi="宋体"/>
                <w:kern w:val="0"/>
                <w:sz w:val="18"/>
                <w:szCs w:val="18"/>
              </w:rPr>
              <w:t>MAE</w:t>
            </w:r>
          </w:p>
        </w:tc>
        <w:tc>
          <w:tcPr>
            <w:tcW w:w="1795" w:type="dxa"/>
            <w:vAlign w:val="center"/>
          </w:tcPr>
          <w:p w14:paraId="66CD7F64">
            <w:pPr>
              <w:jc w:val="center"/>
              <w:rPr>
                <w:rFonts w:hint="eastAsia" w:ascii="宋体" w:hAnsi="宋体"/>
                <w:kern w:val="0"/>
                <w:sz w:val="18"/>
                <w:szCs w:val="18"/>
              </w:rPr>
            </w:pPr>
            <w:r>
              <w:rPr>
                <w:rFonts w:ascii="宋体" w:hAnsi="宋体"/>
                <w:kern w:val="0"/>
                <w:sz w:val="18"/>
                <w:szCs w:val="18"/>
              </w:rPr>
              <w:t>MAE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1456" w:type="dxa"/>
            <w:vAlign w:val="center"/>
          </w:tcPr>
          <w:p w14:paraId="749D0DB2">
            <w:pPr>
              <w:jc w:val="center"/>
              <w:rPr>
                <w:rFonts w:hint="eastAsia" w:ascii="宋体" w:hAnsi="宋体"/>
                <w:i/>
                <w:iCs/>
                <w:kern w:val="0"/>
                <w:sz w:val="18"/>
                <w:szCs w:val="18"/>
              </w:rPr>
            </w:pPr>
            <w:r>
              <w:rPr>
                <w:rFonts w:hint="eastAsia" w:ascii="宋体" w:hAnsi="宋体"/>
                <w:kern w:val="0"/>
                <w:sz w:val="18"/>
                <w:szCs w:val="18"/>
              </w:rPr>
              <w:t>精度（</w:t>
            </w:r>
            <w:r>
              <w:rPr>
                <w:rFonts w:ascii="宋体" w:hAnsi="宋体"/>
                <w:kern w:val="0"/>
                <w:sz w:val="18"/>
                <w:szCs w:val="18"/>
              </w:rPr>
              <w:t>%</w:t>
            </w:r>
            <w:r>
              <w:rPr>
                <w:rFonts w:hint="eastAsia" w:ascii="宋体" w:hAnsi="宋体"/>
                <w:kern w:val="0"/>
                <w:sz w:val="18"/>
                <w:szCs w:val="18"/>
              </w:rPr>
              <w:t>）</w:t>
            </w:r>
          </w:p>
        </w:tc>
      </w:tr>
      <w:tr w14:paraId="1F60B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6" w:type="pct"/>
            <w:vAlign w:val="center"/>
          </w:tcPr>
          <w:p w14:paraId="0E7B44AE">
            <w:pPr>
              <w:jc w:val="center"/>
              <w:rPr>
                <w:rFonts w:ascii="宋体" w:hAnsi="宋体"/>
                <w:sz w:val="18"/>
                <w:szCs w:val="18"/>
              </w:rPr>
            </w:pPr>
            <w:r>
              <w:rPr>
                <w:rFonts w:ascii="宋体" w:hAnsi="宋体"/>
                <w:sz w:val="18"/>
                <w:szCs w:val="18"/>
              </w:rPr>
              <w:t>98</w:t>
            </w:r>
          </w:p>
        </w:tc>
        <w:tc>
          <w:tcPr>
            <w:tcW w:w="719" w:type="pct"/>
            <w:vAlign w:val="center"/>
          </w:tcPr>
          <w:p w14:paraId="2A068900">
            <w:pPr>
              <w:jc w:val="center"/>
              <w:rPr>
                <w:rFonts w:ascii="宋体" w:hAnsi="宋体"/>
                <w:sz w:val="18"/>
                <w:szCs w:val="18"/>
              </w:rPr>
            </w:pPr>
            <w:r>
              <w:rPr>
                <w:rFonts w:ascii="宋体" w:hAnsi="宋体"/>
                <w:sz w:val="18"/>
                <w:szCs w:val="18"/>
              </w:rPr>
              <w:t>3.85</w:t>
            </w:r>
          </w:p>
        </w:tc>
        <w:tc>
          <w:tcPr>
            <w:tcW w:w="903" w:type="pct"/>
            <w:vAlign w:val="center"/>
          </w:tcPr>
          <w:p w14:paraId="57C28AE8">
            <w:pPr>
              <w:jc w:val="center"/>
              <w:rPr>
                <w:rFonts w:ascii="宋体" w:hAnsi="宋体"/>
                <w:sz w:val="18"/>
                <w:szCs w:val="18"/>
              </w:rPr>
            </w:pPr>
            <w:r>
              <w:rPr>
                <w:rFonts w:ascii="宋体" w:hAnsi="宋体"/>
                <w:sz w:val="18"/>
                <w:szCs w:val="18"/>
              </w:rPr>
              <w:t>8.20</w:t>
            </w:r>
          </w:p>
        </w:tc>
        <w:tc>
          <w:tcPr>
            <w:tcW w:w="754" w:type="pct"/>
            <w:vAlign w:val="center"/>
          </w:tcPr>
          <w:p w14:paraId="5D57D22D">
            <w:pPr>
              <w:jc w:val="center"/>
              <w:rPr>
                <w:rFonts w:ascii="宋体" w:hAnsi="宋体"/>
                <w:sz w:val="18"/>
                <w:szCs w:val="18"/>
              </w:rPr>
            </w:pPr>
            <w:r>
              <w:rPr>
                <w:rFonts w:ascii="宋体" w:hAnsi="宋体"/>
                <w:sz w:val="18"/>
                <w:szCs w:val="18"/>
              </w:rPr>
              <w:t>-1.96</w:t>
            </w:r>
          </w:p>
        </w:tc>
        <w:tc>
          <w:tcPr>
            <w:tcW w:w="938" w:type="pct"/>
            <w:vAlign w:val="center"/>
          </w:tcPr>
          <w:p w14:paraId="0D26F7C5">
            <w:pPr>
              <w:jc w:val="center"/>
              <w:rPr>
                <w:rFonts w:ascii="宋体" w:hAnsi="宋体"/>
                <w:sz w:val="18"/>
                <w:szCs w:val="18"/>
              </w:rPr>
            </w:pPr>
            <w:r>
              <w:rPr>
                <w:rFonts w:ascii="宋体" w:hAnsi="宋体"/>
                <w:sz w:val="18"/>
                <w:szCs w:val="18"/>
              </w:rPr>
              <w:t>14.85</w:t>
            </w:r>
          </w:p>
        </w:tc>
        <w:tc>
          <w:tcPr>
            <w:tcW w:w="760" w:type="pct"/>
            <w:vAlign w:val="center"/>
          </w:tcPr>
          <w:p w14:paraId="2AFBF7DD">
            <w:pPr>
              <w:jc w:val="center"/>
              <w:rPr>
                <w:rFonts w:ascii="宋体" w:hAnsi="宋体"/>
                <w:sz w:val="18"/>
                <w:szCs w:val="18"/>
              </w:rPr>
            </w:pPr>
            <w:r>
              <w:rPr>
                <w:rFonts w:ascii="宋体" w:hAnsi="宋体"/>
                <w:sz w:val="18"/>
                <w:szCs w:val="18"/>
              </w:rPr>
              <w:t>90.8</w:t>
            </w:r>
          </w:p>
        </w:tc>
      </w:tr>
    </w:tbl>
    <w:p w14:paraId="5C0F60EF">
      <w:pPr>
        <w:spacing w:line="240" w:lineRule="auto"/>
        <w:jc w:val="center"/>
        <w:rPr>
          <w:rFonts w:hint="eastAsia" w:ascii="宋体" w:hAnsi="宋体" w:cs="宋体"/>
        </w:rPr>
      </w:pPr>
      <w:r>
        <w:rPr>
          <w:rFonts w:hint="eastAsia" w:ascii="黑体" w:hAnsi="黑体" w:eastAsia="黑体" w:cs="宋体"/>
        </w:rPr>
        <w:t>表</w:t>
      </w:r>
      <w:r>
        <w:rPr>
          <w:rFonts w:hint="eastAsia" w:ascii="黑体" w:hAnsi="黑体" w:eastAsia="黑体" w:cs="宋体"/>
          <w:kern w:val="0"/>
          <w:szCs w:val="20"/>
        </w:rPr>
        <w:t xml:space="preserve">6 </w:t>
      </w:r>
      <w:r>
        <w:rPr>
          <w:rFonts w:hint="eastAsia" w:ascii="黑体" w:hAnsi="黑体" w:eastAsia="黑体" w:cs="宋体"/>
        </w:rPr>
        <w:t>相容性生物量模型的评价指标</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0"/>
        <w:gridCol w:w="1374"/>
        <w:gridCol w:w="1727"/>
        <w:gridCol w:w="1442"/>
        <w:gridCol w:w="1794"/>
        <w:gridCol w:w="1463"/>
      </w:tblGrid>
      <w:tr w14:paraId="46AE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5" w:type="pct"/>
            <w:vMerge w:val="restart"/>
            <w:vAlign w:val="center"/>
          </w:tcPr>
          <w:p w14:paraId="55069228">
            <w:pPr>
              <w:jc w:val="center"/>
              <w:rPr>
                <w:rFonts w:hint="eastAsia" w:ascii="宋体" w:hAnsi="宋体"/>
                <w:kern w:val="0"/>
                <w:sz w:val="18"/>
                <w:szCs w:val="18"/>
              </w:rPr>
            </w:pPr>
            <w:r>
              <w:rPr>
                <w:rFonts w:hint="eastAsia" w:ascii="宋体" w:hAnsi="宋体"/>
                <w:kern w:val="0"/>
                <w:sz w:val="18"/>
                <w:szCs w:val="18"/>
              </w:rPr>
              <w:t>样本数</w:t>
            </w:r>
          </w:p>
        </w:tc>
        <w:tc>
          <w:tcPr>
            <w:tcW w:w="4074" w:type="pct"/>
            <w:gridSpan w:val="5"/>
            <w:vAlign w:val="center"/>
          </w:tcPr>
          <w:p w14:paraId="7821E07E">
            <w:pPr>
              <w:jc w:val="center"/>
              <w:rPr>
                <w:rFonts w:hint="eastAsia" w:ascii="宋体" w:hAnsi="宋体"/>
                <w:kern w:val="0"/>
                <w:sz w:val="18"/>
                <w:szCs w:val="18"/>
              </w:rPr>
            </w:pPr>
            <w:r>
              <w:rPr>
                <w:rFonts w:hint="eastAsia" w:ascii="宋体" w:hAnsi="宋体"/>
                <w:kern w:val="0"/>
                <w:sz w:val="18"/>
                <w:szCs w:val="18"/>
              </w:rPr>
              <w:t>模型检验指标</w:t>
            </w:r>
          </w:p>
        </w:tc>
      </w:tr>
      <w:tr w14:paraId="63D6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925" w:type="pct"/>
            <w:vMerge w:val="continue"/>
            <w:vAlign w:val="center"/>
          </w:tcPr>
          <w:p w14:paraId="27901546">
            <w:pPr>
              <w:jc w:val="center"/>
              <w:rPr>
                <w:rFonts w:hint="eastAsia" w:ascii="宋体" w:hAnsi="宋体"/>
                <w:kern w:val="0"/>
                <w:sz w:val="18"/>
                <w:szCs w:val="18"/>
              </w:rPr>
            </w:pPr>
          </w:p>
        </w:tc>
        <w:tc>
          <w:tcPr>
            <w:tcW w:w="718" w:type="pct"/>
            <w:vAlign w:val="center"/>
          </w:tcPr>
          <w:p w14:paraId="5D8CEA41">
            <w:pPr>
              <w:jc w:val="center"/>
              <w:rPr>
                <w:rFonts w:hint="eastAsia" w:ascii="宋体" w:hAnsi="宋体"/>
                <w:kern w:val="0"/>
                <w:sz w:val="18"/>
                <w:szCs w:val="18"/>
              </w:rPr>
            </w:pPr>
            <w:r>
              <w:rPr>
                <w:rFonts w:ascii="宋体" w:hAnsi="宋体"/>
                <w:kern w:val="0"/>
                <w:sz w:val="18"/>
                <w:szCs w:val="18"/>
              </w:rPr>
              <w:t>MPE</w:t>
            </w:r>
          </w:p>
        </w:tc>
        <w:tc>
          <w:tcPr>
            <w:tcW w:w="902" w:type="pct"/>
            <w:vAlign w:val="center"/>
          </w:tcPr>
          <w:p w14:paraId="0203B8ED">
            <w:pPr>
              <w:jc w:val="center"/>
              <w:rPr>
                <w:rFonts w:hint="eastAsia" w:ascii="宋体" w:hAnsi="宋体"/>
                <w:kern w:val="0"/>
                <w:sz w:val="18"/>
                <w:szCs w:val="18"/>
              </w:rPr>
            </w:pPr>
            <w:r>
              <w:rPr>
                <w:rFonts w:ascii="宋体" w:hAnsi="宋体"/>
                <w:kern w:val="0"/>
                <w:sz w:val="18"/>
                <w:szCs w:val="18"/>
              </w:rPr>
              <w:t>MPE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53" w:type="pct"/>
            <w:vAlign w:val="center"/>
          </w:tcPr>
          <w:p w14:paraId="63DA127E">
            <w:pPr>
              <w:jc w:val="center"/>
              <w:rPr>
                <w:rFonts w:hint="eastAsia" w:ascii="宋体" w:hAnsi="宋体"/>
                <w:kern w:val="0"/>
                <w:sz w:val="18"/>
                <w:szCs w:val="18"/>
              </w:rPr>
            </w:pPr>
            <w:r>
              <w:rPr>
                <w:rFonts w:ascii="宋体" w:hAnsi="宋体"/>
                <w:kern w:val="0"/>
                <w:sz w:val="18"/>
                <w:szCs w:val="18"/>
              </w:rPr>
              <w:t>MAE</w:t>
            </w:r>
          </w:p>
        </w:tc>
        <w:tc>
          <w:tcPr>
            <w:tcW w:w="937" w:type="pct"/>
            <w:vAlign w:val="center"/>
          </w:tcPr>
          <w:p w14:paraId="40046708">
            <w:pPr>
              <w:jc w:val="center"/>
              <w:rPr>
                <w:rFonts w:hint="eastAsia" w:ascii="宋体" w:hAnsi="宋体"/>
                <w:kern w:val="0"/>
                <w:sz w:val="18"/>
                <w:szCs w:val="18"/>
              </w:rPr>
            </w:pPr>
            <w:r>
              <w:rPr>
                <w:rFonts w:ascii="宋体" w:hAnsi="宋体"/>
                <w:kern w:val="0"/>
                <w:sz w:val="18"/>
                <w:szCs w:val="18"/>
              </w:rPr>
              <w:t>MAE</w:t>
            </w:r>
            <w:r>
              <w:rPr>
                <w:rFonts w:hint="eastAsia" w:ascii="宋体" w:hAnsi="宋体"/>
                <w:kern w:val="0"/>
                <w:sz w:val="18"/>
                <w:szCs w:val="18"/>
              </w:rPr>
              <w:t>（</w:t>
            </w:r>
            <w:r>
              <w:rPr>
                <w:rFonts w:ascii="宋体" w:hAnsi="宋体"/>
                <w:kern w:val="0"/>
                <w:sz w:val="18"/>
                <w:szCs w:val="18"/>
              </w:rPr>
              <w:t>%</w:t>
            </w:r>
            <w:r>
              <w:rPr>
                <w:rFonts w:hint="eastAsia" w:ascii="宋体" w:hAnsi="宋体"/>
                <w:kern w:val="0"/>
                <w:sz w:val="18"/>
                <w:szCs w:val="18"/>
              </w:rPr>
              <w:t>）</w:t>
            </w:r>
          </w:p>
        </w:tc>
        <w:tc>
          <w:tcPr>
            <w:tcW w:w="760" w:type="pct"/>
            <w:vAlign w:val="center"/>
          </w:tcPr>
          <w:p w14:paraId="03F18709">
            <w:pPr>
              <w:jc w:val="center"/>
              <w:rPr>
                <w:rFonts w:hint="eastAsia" w:ascii="宋体" w:hAnsi="宋体"/>
                <w:i/>
                <w:iCs/>
                <w:kern w:val="0"/>
                <w:sz w:val="18"/>
                <w:szCs w:val="18"/>
              </w:rPr>
            </w:pPr>
            <w:r>
              <w:rPr>
                <w:rFonts w:hint="eastAsia" w:ascii="宋体" w:hAnsi="宋体"/>
                <w:kern w:val="0"/>
                <w:sz w:val="18"/>
                <w:szCs w:val="18"/>
              </w:rPr>
              <w:t>精度（</w:t>
            </w:r>
            <w:r>
              <w:rPr>
                <w:rFonts w:ascii="宋体" w:hAnsi="宋体"/>
                <w:kern w:val="0"/>
                <w:sz w:val="18"/>
                <w:szCs w:val="18"/>
              </w:rPr>
              <w:t>%</w:t>
            </w:r>
            <w:r>
              <w:rPr>
                <w:rFonts w:hint="eastAsia" w:ascii="宋体" w:hAnsi="宋体"/>
                <w:kern w:val="0"/>
                <w:sz w:val="18"/>
                <w:szCs w:val="18"/>
              </w:rPr>
              <w:t>）</w:t>
            </w:r>
          </w:p>
        </w:tc>
      </w:tr>
      <w:tr w14:paraId="5261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25" w:type="pct"/>
            <w:vAlign w:val="center"/>
          </w:tcPr>
          <w:p w14:paraId="2670F689">
            <w:pPr>
              <w:jc w:val="center"/>
              <w:rPr>
                <w:rFonts w:ascii="宋体" w:hAnsi="宋体"/>
                <w:sz w:val="18"/>
                <w:szCs w:val="18"/>
              </w:rPr>
            </w:pPr>
            <w:r>
              <w:rPr>
                <w:rFonts w:ascii="宋体" w:hAnsi="宋体"/>
                <w:sz w:val="18"/>
                <w:szCs w:val="18"/>
              </w:rPr>
              <w:t>85</w:t>
            </w:r>
          </w:p>
        </w:tc>
        <w:tc>
          <w:tcPr>
            <w:tcW w:w="718" w:type="pct"/>
            <w:vAlign w:val="center"/>
          </w:tcPr>
          <w:p w14:paraId="56AEB3B2">
            <w:pPr>
              <w:jc w:val="center"/>
              <w:rPr>
                <w:rFonts w:ascii="宋体" w:hAnsi="宋体"/>
                <w:sz w:val="18"/>
                <w:szCs w:val="18"/>
              </w:rPr>
            </w:pPr>
            <w:r>
              <w:rPr>
                <w:rFonts w:ascii="宋体" w:hAnsi="宋体"/>
                <w:sz w:val="18"/>
                <w:szCs w:val="18"/>
              </w:rPr>
              <w:t>3.25</w:t>
            </w:r>
          </w:p>
        </w:tc>
        <w:tc>
          <w:tcPr>
            <w:tcW w:w="902" w:type="pct"/>
            <w:vAlign w:val="center"/>
          </w:tcPr>
          <w:p w14:paraId="073089E9">
            <w:pPr>
              <w:jc w:val="center"/>
              <w:rPr>
                <w:rFonts w:ascii="宋体" w:hAnsi="宋体"/>
                <w:sz w:val="18"/>
                <w:szCs w:val="18"/>
              </w:rPr>
            </w:pPr>
            <w:r>
              <w:rPr>
                <w:rFonts w:ascii="宋体" w:hAnsi="宋体"/>
                <w:sz w:val="18"/>
                <w:szCs w:val="18"/>
              </w:rPr>
              <w:t>6.80</w:t>
            </w:r>
          </w:p>
        </w:tc>
        <w:tc>
          <w:tcPr>
            <w:tcW w:w="753" w:type="pct"/>
            <w:vAlign w:val="center"/>
          </w:tcPr>
          <w:p w14:paraId="6C2765BE">
            <w:pPr>
              <w:jc w:val="center"/>
              <w:rPr>
                <w:rFonts w:ascii="宋体" w:hAnsi="宋体"/>
                <w:sz w:val="18"/>
                <w:szCs w:val="18"/>
              </w:rPr>
            </w:pPr>
            <w:r>
              <w:rPr>
                <w:rFonts w:ascii="宋体" w:hAnsi="宋体"/>
                <w:sz w:val="18"/>
                <w:szCs w:val="18"/>
              </w:rPr>
              <w:t>-1.65</w:t>
            </w:r>
          </w:p>
        </w:tc>
        <w:tc>
          <w:tcPr>
            <w:tcW w:w="937" w:type="pct"/>
            <w:vAlign w:val="center"/>
          </w:tcPr>
          <w:p w14:paraId="3E770968">
            <w:pPr>
              <w:jc w:val="center"/>
              <w:rPr>
                <w:rFonts w:ascii="宋体" w:hAnsi="宋体"/>
                <w:sz w:val="18"/>
                <w:szCs w:val="18"/>
              </w:rPr>
            </w:pPr>
            <w:r>
              <w:rPr>
                <w:rFonts w:ascii="宋体" w:hAnsi="宋体"/>
                <w:sz w:val="18"/>
                <w:szCs w:val="18"/>
              </w:rPr>
              <w:t>12.50</w:t>
            </w:r>
          </w:p>
        </w:tc>
        <w:tc>
          <w:tcPr>
            <w:tcW w:w="760" w:type="pct"/>
            <w:vAlign w:val="center"/>
          </w:tcPr>
          <w:p w14:paraId="77B0BD75">
            <w:pPr>
              <w:jc w:val="center"/>
              <w:rPr>
                <w:rFonts w:ascii="宋体" w:hAnsi="宋体"/>
                <w:sz w:val="18"/>
                <w:szCs w:val="18"/>
              </w:rPr>
            </w:pPr>
            <w:r>
              <w:rPr>
                <w:rFonts w:ascii="宋体" w:hAnsi="宋体"/>
                <w:sz w:val="18"/>
                <w:szCs w:val="18"/>
              </w:rPr>
              <w:t>91.5</w:t>
            </w:r>
          </w:p>
        </w:tc>
      </w:tr>
    </w:tbl>
    <w:p w14:paraId="77018FCF">
      <w:pPr>
        <w:pStyle w:val="106"/>
        <w:spacing w:before="120" w:after="120"/>
        <w:rPr>
          <w:rFonts w:ascii="Times New Roman"/>
        </w:rPr>
      </w:pPr>
      <w:bookmarkStart w:id="59" w:name="_Toc18844"/>
      <w:r>
        <w:rPr>
          <w:rFonts w:hint="eastAsia" w:ascii="Times New Roman"/>
        </w:rPr>
        <w:t>含碳系数</w:t>
      </w:r>
      <w:bookmarkEnd w:id="59"/>
    </w:p>
    <w:p w14:paraId="11F6F2A3">
      <w:pPr>
        <w:pStyle w:val="16"/>
        <w:ind w:left="0" w:leftChars="0" w:firstLine="420" w:firstLineChars="200"/>
        <w:rPr>
          <w:color w:val="000000"/>
        </w:rPr>
      </w:pPr>
      <w:r>
        <w:rPr>
          <w:rFonts w:hint="eastAsia"/>
          <w:color w:val="000000"/>
        </w:rPr>
        <w:t>对樟子松各器官进行取样，采用碳氮分析仪测定其含碳系数，见表7。</w:t>
      </w:r>
    </w:p>
    <w:p w14:paraId="49C70333">
      <w:pPr>
        <w:spacing w:line="240" w:lineRule="auto"/>
        <w:jc w:val="center"/>
        <w:rPr>
          <w:rFonts w:eastAsia="黑体"/>
        </w:rPr>
      </w:pPr>
      <w:r>
        <w:rPr>
          <w:rFonts w:hint="eastAsia" w:eastAsia="黑体"/>
        </w:rPr>
        <w:t>表7 樟子松各器官含碳系数</w:t>
      </w:r>
    </w:p>
    <w:tbl>
      <w:tblPr>
        <w:tblStyle w:val="27"/>
        <w:tblW w:w="4998" w:type="pct"/>
        <w:tblInd w:w="0" w:type="dxa"/>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88"/>
        <w:gridCol w:w="1282"/>
        <w:gridCol w:w="992"/>
        <w:gridCol w:w="996"/>
        <w:gridCol w:w="996"/>
        <w:gridCol w:w="996"/>
        <w:gridCol w:w="996"/>
        <w:gridCol w:w="996"/>
        <w:gridCol w:w="1024"/>
      </w:tblGrid>
      <w:tr w14:paraId="698598BE">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73" w:type="pct"/>
            <w:tcBorders>
              <w:bottom w:val="single" w:color="008000" w:sz="12" w:space="0"/>
            </w:tcBorders>
            <w:vAlign w:val="center"/>
          </w:tcPr>
          <w:p w14:paraId="72D286E7">
            <w:pPr>
              <w:jc w:val="center"/>
              <w:rPr>
                <w:rFonts w:ascii="宋体" w:hAnsi="宋体"/>
                <w:color w:val="000000" w:themeColor="text1"/>
                <w:sz w:val="18"/>
                <w:szCs w:val="18"/>
                <w14:textFill>
                  <w14:solidFill>
                    <w14:schemeClr w14:val="tx1"/>
                  </w14:solidFill>
                </w14:textFill>
              </w:rPr>
            </w:pPr>
            <w:r>
              <w:rPr>
                <w:rFonts w:hint="eastAsia" w:ascii="宋体" w:hAnsi="宋体"/>
                <w:sz w:val="18"/>
                <w:szCs w:val="18"/>
              </w:rPr>
              <w:t>样本数</w:t>
            </w:r>
          </w:p>
        </w:tc>
        <w:tc>
          <w:tcPr>
            <w:tcW w:w="670" w:type="pct"/>
            <w:tcBorders>
              <w:bottom w:val="single" w:color="008000" w:sz="12" w:space="0"/>
            </w:tcBorders>
            <w:noWrap/>
            <w:vAlign w:val="center"/>
          </w:tcPr>
          <w:p w14:paraId="118E41C9">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地上</w:t>
            </w:r>
          </w:p>
        </w:tc>
        <w:tc>
          <w:tcPr>
            <w:tcW w:w="518" w:type="pct"/>
            <w:tcBorders>
              <w:bottom w:val="single" w:color="008000" w:sz="12" w:space="0"/>
            </w:tcBorders>
            <w:vAlign w:val="center"/>
          </w:tcPr>
          <w:p w14:paraId="197E64DC">
            <w:pPr>
              <w:jc w:val="center"/>
              <w:rPr>
                <w:rFonts w:hint="eastAsia" w:ascii="宋体" w:hAnsi="宋体"/>
                <w:sz w:val="18"/>
                <w:szCs w:val="18"/>
              </w:rPr>
            </w:pPr>
            <w:r>
              <w:rPr>
                <w:rFonts w:hint="eastAsia" w:ascii="宋体" w:hAnsi="宋体"/>
                <w:sz w:val="18"/>
                <w:szCs w:val="18"/>
              </w:rPr>
              <w:t>地下</w:t>
            </w:r>
          </w:p>
        </w:tc>
        <w:tc>
          <w:tcPr>
            <w:tcW w:w="520" w:type="pct"/>
            <w:tcBorders>
              <w:bottom w:val="single" w:color="008000" w:sz="12" w:space="0"/>
            </w:tcBorders>
            <w:vAlign w:val="center"/>
          </w:tcPr>
          <w:p w14:paraId="20EFFF2D">
            <w:pPr>
              <w:jc w:val="center"/>
              <w:rPr>
                <w:rFonts w:hint="eastAsia" w:ascii="宋体" w:hAnsi="宋体"/>
                <w:sz w:val="18"/>
                <w:szCs w:val="18"/>
              </w:rPr>
            </w:pPr>
            <w:r>
              <w:rPr>
                <w:rFonts w:hint="eastAsia" w:ascii="宋体" w:hAnsi="宋体"/>
                <w:sz w:val="18"/>
                <w:szCs w:val="18"/>
              </w:rPr>
              <w:t>干材</w:t>
            </w:r>
          </w:p>
        </w:tc>
        <w:tc>
          <w:tcPr>
            <w:tcW w:w="520" w:type="pct"/>
            <w:tcBorders>
              <w:bottom w:val="single" w:color="008000" w:sz="12" w:space="0"/>
            </w:tcBorders>
            <w:noWrap/>
            <w:vAlign w:val="center"/>
          </w:tcPr>
          <w:p w14:paraId="321D1E1E">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干皮</w:t>
            </w:r>
          </w:p>
        </w:tc>
        <w:tc>
          <w:tcPr>
            <w:tcW w:w="520" w:type="pct"/>
            <w:tcBorders>
              <w:bottom w:val="single" w:color="008000" w:sz="12" w:space="0"/>
            </w:tcBorders>
            <w:vAlign w:val="center"/>
          </w:tcPr>
          <w:p w14:paraId="2219244A">
            <w:pPr>
              <w:jc w:val="center"/>
              <w:rPr>
                <w:rFonts w:hint="eastAsia" w:ascii="宋体" w:hAnsi="宋体"/>
                <w:sz w:val="18"/>
                <w:szCs w:val="18"/>
              </w:rPr>
            </w:pPr>
            <w:r>
              <w:rPr>
                <w:rFonts w:hint="eastAsia" w:ascii="宋体" w:hAnsi="宋体"/>
                <w:sz w:val="18"/>
                <w:szCs w:val="18"/>
              </w:rPr>
              <w:t>树枝</w:t>
            </w:r>
          </w:p>
        </w:tc>
        <w:tc>
          <w:tcPr>
            <w:tcW w:w="520" w:type="pct"/>
            <w:tcBorders>
              <w:bottom w:val="single" w:color="008000" w:sz="12" w:space="0"/>
            </w:tcBorders>
            <w:noWrap/>
            <w:vAlign w:val="center"/>
          </w:tcPr>
          <w:p w14:paraId="3991F7FC">
            <w:pPr>
              <w:jc w:val="center"/>
              <w:rPr>
                <w:rFonts w:ascii="宋体" w:hAnsi="宋体" w:cs="宋体"/>
                <w:color w:val="000000" w:themeColor="text1"/>
                <w:sz w:val="18"/>
                <w:szCs w:val="18"/>
                <w14:textFill>
                  <w14:solidFill>
                    <w14:schemeClr w14:val="tx1"/>
                  </w14:solidFill>
                </w14:textFill>
              </w:rPr>
            </w:pPr>
            <w:r>
              <w:rPr>
                <w:rFonts w:hint="eastAsia" w:ascii="宋体" w:hAnsi="宋体"/>
                <w:sz w:val="18"/>
                <w:szCs w:val="18"/>
              </w:rPr>
              <w:t>树叶</w:t>
            </w:r>
          </w:p>
        </w:tc>
        <w:tc>
          <w:tcPr>
            <w:tcW w:w="520" w:type="pct"/>
            <w:tcBorders>
              <w:bottom w:val="single" w:color="008000" w:sz="12" w:space="0"/>
            </w:tcBorders>
            <w:noWrap/>
            <w:vAlign w:val="center"/>
          </w:tcPr>
          <w:p w14:paraId="2FE354DE">
            <w:pPr>
              <w:jc w:val="center"/>
              <w:rPr>
                <w:rFonts w:ascii="宋体" w:hAnsi="宋体" w:cs="宋体"/>
                <w:color w:val="000000" w:themeColor="text1"/>
                <w:sz w:val="18"/>
                <w:szCs w:val="18"/>
                <w14:textFill>
                  <w14:solidFill>
                    <w14:schemeClr w14:val="tx1"/>
                  </w14:solidFill>
                </w14:textFill>
              </w:rPr>
            </w:pPr>
            <w:r>
              <w:rPr>
                <w:rFonts w:hint="eastAsia" w:ascii="宋体" w:hAnsi="宋体"/>
                <w:sz w:val="18"/>
                <w:szCs w:val="18"/>
              </w:rPr>
              <w:t>树根</w:t>
            </w:r>
          </w:p>
        </w:tc>
        <w:tc>
          <w:tcPr>
            <w:tcW w:w="535" w:type="pct"/>
            <w:tcBorders>
              <w:bottom w:val="single" w:color="008000" w:sz="12" w:space="0"/>
            </w:tcBorders>
            <w:noWrap/>
            <w:vAlign w:val="center"/>
          </w:tcPr>
          <w:p w14:paraId="3F3B85B7">
            <w:pPr>
              <w:jc w:val="center"/>
              <w:rPr>
                <w:rFonts w:ascii="宋体" w:hAnsi="宋体" w:cs="宋体"/>
                <w:color w:val="000000" w:themeColor="text1"/>
                <w:sz w:val="18"/>
                <w:szCs w:val="18"/>
                <w14:textFill>
                  <w14:solidFill>
                    <w14:schemeClr w14:val="tx1"/>
                  </w14:solidFill>
                </w14:textFill>
              </w:rPr>
            </w:pPr>
            <w:r>
              <w:rPr>
                <w:rFonts w:hint="eastAsia" w:ascii="宋体" w:hAnsi="宋体"/>
                <w:sz w:val="18"/>
                <w:szCs w:val="18"/>
              </w:rPr>
              <w:t>总体</w:t>
            </w:r>
          </w:p>
        </w:tc>
      </w:tr>
      <w:tr w14:paraId="4DA58CBD">
        <w:tblPrEx>
          <w:tblBorders>
            <w:top w:val="single" w:color="008000" w:sz="12" w:space="0"/>
            <w:left w:val="none" w:color="auto" w:sz="0" w:space="0"/>
            <w:bottom w:val="single" w:color="008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73" w:type="pct"/>
            <w:vAlign w:val="center"/>
          </w:tcPr>
          <w:p w14:paraId="45419401">
            <w:pPr>
              <w:jc w:val="center"/>
              <w:rPr>
                <w:rFonts w:ascii="宋体" w:hAnsi="宋体"/>
                <w:sz w:val="18"/>
                <w:szCs w:val="18"/>
              </w:rPr>
            </w:pPr>
            <w:r>
              <w:rPr>
                <w:rFonts w:ascii="宋体" w:hAnsi="宋体"/>
                <w:sz w:val="18"/>
                <w:szCs w:val="18"/>
              </w:rPr>
              <w:t>37</w:t>
            </w:r>
          </w:p>
        </w:tc>
        <w:tc>
          <w:tcPr>
            <w:tcW w:w="670" w:type="pct"/>
            <w:noWrap/>
            <w:vAlign w:val="center"/>
          </w:tcPr>
          <w:p w14:paraId="7FD7C22D">
            <w:pPr>
              <w:jc w:val="center"/>
              <w:rPr>
                <w:rFonts w:ascii="宋体" w:hAnsi="宋体"/>
                <w:sz w:val="18"/>
                <w:szCs w:val="18"/>
              </w:rPr>
            </w:pPr>
            <w:r>
              <w:rPr>
                <w:rFonts w:ascii="宋体" w:hAnsi="宋体"/>
                <w:sz w:val="18"/>
                <w:szCs w:val="18"/>
              </w:rPr>
              <w:t>51.02</w:t>
            </w:r>
          </w:p>
        </w:tc>
        <w:tc>
          <w:tcPr>
            <w:tcW w:w="518" w:type="pct"/>
            <w:vAlign w:val="center"/>
          </w:tcPr>
          <w:p w14:paraId="1341340F">
            <w:pPr>
              <w:jc w:val="center"/>
              <w:rPr>
                <w:rFonts w:ascii="宋体" w:hAnsi="宋体"/>
                <w:sz w:val="18"/>
                <w:szCs w:val="18"/>
              </w:rPr>
            </w:pPr>
            <w:r>
              <w:rPr>
                <w:rFonts w:ascii="宋体" w:hAnsi="宋体"/>
                <w:sz w:val="18"/>
                <w:szCs w:val="18"/>
              </w:rPr>
              <w:t>50.83</w:t>
            </w:r>
          </w:p>
        </w:tc>
        <w:tc>
          <w:tcPr>
            <w:tcW w:w="520" w:type="pct"/>
            <w:vAlign w:val="center"/>
          </w:tcPr>
          <w:p w14:paraId="4776D2BB">
            <w:pPr>
              <w:jc w:val="center"/>
              <w:rPr>
                <w:rFonts w:ascii="宋体" w:hAnsi="宋体"/>
                <w:sz w:val="18"/>
                <w:szCs w:val="18"/>
              </w:rPr>
            </w:pPr>
            <w:r>
              <w:rPr>
                <w:rFonts w:ascii="宋体" w:hAnsi="宋体"/>
                <w:sz w:val="18"/>
                <w:szCs w:val="18"/>
              </w:rPr>
              <w:t>51.20</w:t>
            </w:r>
          </w:p>
        </w:tc>
        <w:tc>
          <w:tcPr>
            <w:tcW w:w="520" w:type="pct"/>
            <w:noWrap/>
            <w:vAlign w:val="center"/>
          </w:tcPr>
          <w:p w14:paraId="347F1B03">
            <w:pPr>
              <w:jc w:val="center"/>
              <w:rPr>
                <w:rFonts w:ascii="宋体" w:hAnsi="宋体"/>
                <w:sz w:val="18"/>
                <w:szCs w:val="18"/>
              </w:rPr>
            </w:pPr>
            <w:r>
              <w:rPr>
                <w:rFonts w:ascii="宋体" w:hAnsi="宋体"/>
                <w:sz w:val="18"/>
                <w:szCs w:val="18"/>
              </w:rPr>
              <w:t>53.65</w:t>
            </w:r>
          </w:p>
        </w:tc>
        <w:tc>
          <w:tcPr>
            <w:tcW w:w="520" w:type="pct"/>
            <w:vAlign w:val="center"/>
          </w:tcPr>
          <w:p w14:paraId="0B3C1C15">
            <w:pPr>
              <w:jc w:val="center"/>
              <w:rPr>
                <w:rFonts w:ascii="宋体" w:hAnsi="宋体"/>
                <w:sz w:val="18"/>
                <w:szCs w:val="18"/>
              </w:rPr>
            </w:pPr>
            <w:r>
              <w:rPr>
                <w:rFonts w:ascii="宋体" w:hAnsi="宋体"/>
                <w:sz w:val="18"/>
                <w:szCs w:val="18"/>
              </w:rPr>
              <w:t>51.17</w:t>
            </w:r>
          </w:p>
        </w:tc>
        <w:tc>
          <w:tcPr>
            <w:tcW w:w="520" w:type="pct"/>
            <w:noWrap/>
            <w:vAlign w:val="center"/>
          </w:tcPr>
          <w:p w14:paraId="1C0E0AE0">
            <w:pPr>
              <w:jc w:val="center"/>
              <w:rPr>
                <w:rFonts w:ascii="宋体" w:hAnsi="宋体"/>
                <w:sz w:val="18"/>
                <w:szCs w:val="18"/>
              </w:rPr>
            </w:pPr>
            <w:r>
              <w:rPr>
                <w:rFonts w:ascii="宋体" w:hAnsi="宋体"/>
                <w:sz w:val="18"/>
                <w:szCs w:val="18"/>
              </w:rPr>
              <w:t>50.62</w:t>
            </w:r>
          </w:p>
        </w:tc>
        <w:tc>
          <w:tcPr>
            <w:tcW w:w="520" w:type="pct"/>
            <w:noWrap/>
            <w:vAlign w:val="center"/>
          </w:tcPr>
          <w:p w14:paraId="61C40485">
            <w:pPr>
              <w:jc w:val="center"/>
              <w:rPr>
                <w:rFonts w:ascii="宋体" w:hAnsi="宋体"/>
                <w:sz w:val="18"/>
                <w:szCs w:val="18"/>
              </w:rPr>
            </w:pPr>
            <w:r>
              <w:rPr>
                <w:rFonts w:ascii="宋体" w:hAnsi="宋体"/>
                <w:sz w:val="18"/>
                <w:szCs w:val="18"/>
              </w:rPr>
              <w:t>50.83</w:t>
            </w:r>
          </w:p>
        </w:tc>
        <w:tc>
          <w:tcPr>
            <w:tcW w:w="535" w:type="pct"/>
            <w:noWrap/>
            <w:vAlign w:val="center"/>
          </w:tcPr>
          <w:p w14:paraId="37EE57A8">
            <w:pPr>
              <w:jc w:val="center"/>
              <w:rPr>
                <w:rFonts w:ascii="宋体" w:hAnsi="宋体"/>
                <w:sz w:val="18"/>
                <w:szCs w:val="18"/>
              </w:rPr>
            </w:pPr>
            <w:r>
              <w:rPr>
                <w:rFonts w:ascii="宋体" w:hAnsi="宋体"/>
                <w:sz w:val="18"/>
                <w:szCs w:val="18"/>
              </w:rPr>
              <w:t>50.95</w:t>
            </w:r>
          </w:p>
        </w:tc>
      </w:tr>
    </w:tbl>
    <w:p w14:paraId="63151E27">
      <w:pPr>
        <w:pStyle w:val="57"/>
        <w:ind w:firstLine="420"/>
      </w:pPr>
    </w:p>
    <w:p w14:paraId="3C32A2CC">
      <w:pPr>
        <w:pStyle w:val="106"/>
        <w:spacing w:before="120" w:after="120"/>
        <w:rPr>
          <w:rFonts w:ascii="Times New Roman"/>
        </w:rPr>
      </w:pPr>
      <w:bookmarkStart w:id="60" w:name="_Toc3502"/>
      <w:r>
        <w:rPr>
          <w:rFonts w:hint="eastAsia" w:ascii="Times New Roman"/>
        </w:rPr>
        <w:t>立木含碳量计算</w:t>
      </w:r>
      <w:bookmarkEnd w:id="60"/>
    </w:p>
    <w:p w14:paraId="7D9C43C6">
      <w:pPr>
        <w:pStyle w:val="16"/>
        <w:spacing w:line="240" w:lineRule="auto"/>
        <w:ind w:left="0" w:leftChars="0" w:firstLine="420" w:firstLineChars="200"/>
        <w:rPr>
          <w:rFonts w:ascii="宋体" w:hAnsi="宋体"/>
          <w:color w:val="000000"/>
        </w:rPr>
      </w:pPr>
      <w:r>
        <w:rPr>
          <w:rFonts w:hint="eastAsia" w:ascii="宋体" w:hAnsi="宋体"/>
          <w:color w:val="000000"/>
        </w:rPr>
        <w:t>利用樟子松立木生物量模型和含碳系数计算立木的含碳量。</w:t>
      </w:r>
    </w:p>
    <w:p w14:paraId="0D4C2AB0">
      <w:pPr>
        <w:jc w:val="right"/>
        <w:rPr>
          <w:rFonts w:hint="default" w:ascii="Times New Roman" w:hAnsi="Times New Roman" w:eastAsia="宋体"/>
          <w:bCs/>
          <w:kern w:val="44"/>
          <w:lang w:val="en-US" w:eastAsia="zh-CN"/>
        </w:rPr>
      </w:pPr>
      <w:bookmarkStart w:id="61" w:name="_Toc21938"/>
      <m:oMath>
        <m:sSub>
          <m:sSubPr>
            <m:ctrlPr>
              <w:rPr>
                <w:rFonts w:ascii="Cambria Math" w:hAnsi="Cambria Math"/>
                <w:bCs/>
                <w:i/>
                <w:kern w:val="44"/>
              </w:rPr>
            </m:ctrlPr>
          </m:sSubPr>
          <m:e>
            <m:r>
              <m:rPr/>
              <w:rPr>
                <w:rFonts w:hint="default" w:ascii="Cambria Math" w:hAnsi="Cambria Math"/>
                <w:kern w:val="44"/>
                <w:lang w:val="en-US" w:eastAsia="zh-CN"/>
              </w:rPr>
              <m:t>C</m:t>
            </m:r>
            <m:ctrlPr>
              <w:rPr>
                <w:rFonts w:ascii="Cambria Math" w:hAnsi="Cambria Math"/>
                <w:bCs/>
                <w:i/>
                <w:kern w:val="44"/>
              </w:rPr>
            </m:ctrlPr>
          </m:e>
          <m:sub>
            <m:r>
              <m:rPr/>
              <w:rPr>
                <w:rFonts w:hint="default" w:ascii="Cambria Math" w:hAnsi="Cambria Math"/>
                <w:kern w:val="44"/>
                <w:lang w:val="en-US" w:eastAsia="zh-CN"/>
              </w:rPr>
              <m:t>t</m:t>
            </m:r>
            <m:ctrlPr>
              <w:rPr>
                <w:rFonts w:ascii="Cambria Math" w:hAnsi="Cambria Math"/>
                <w:bCs/>
                <w:i/>
                <w:kern w:val="44"/>
              </w:rPr>
            </m:ctrlPr>
          </m:sub>
        </m:sSub>
        <m:r>
          <m:rPr/>
          <w:rPr>
            <w:rFonts w:hint="default" w:ascii="Cambria Math" w:hAnsi="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M</m:t>
            </m:r>
            <m:ctrlPr>
              <w:rPr>
                <w:rFonts w:hint="default" w:ascii="Cambria Math" w:hAnsi="Cambria Math"/>
                <w:bCs/>
                <w:i/>
                <w:kern w:val="44"/>
                <w:lang w:val="en-US" w:eastAsia="zh-CN"/>
              </w:rPr>
            </m:ctrlPr>
          </m:e>
          <m:sub>
            <m:r>
              <m:rPr/>
              <w:rPr>
                <w:rFonts w:hint="default" w:ascii="Cambria Math" w:hAnsi="Cambria Math"/>
                <w:kern w:val="44"/>
                <w:lang w:val="en-US" w:eastAsia="zh-CN"/>
              </w:rPr>
              <m:t>A</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A</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M</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B</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B</m:t>
            </m:r>
            <m:ctrlPr>
              <w:rPr>
                <w:rFonts w:hint="default" w:ascii="Cambria Math" w:hAnsi="Cambria Math" w:cs="Cambria Math"/>
                <w:bCs/>
                <w:i/>
                <w:kern w:val="44"/>
                <w:lang w:val="en-US" w:eastAsia="zh-CN"/>
              </w:rPr>
            </m:ctrlPr>
          </m:sub>
        </m:sSub>
      </m:oMath>
      <w:r>
        <w:rPr>
          <w:rFonts w:ascii="Times New Roman" w:hAnsi="Times New Roman"/>
          <w:bCs/>
          <w:kern w:val="44"/>
        </w:rPr>
        <w:t>………………………………</w:t>
      </w:r>
      <w:r>
        <w:rPr>
          <w:rFonts w:hint="eastAsia" w:ascii="Times New Roman" w:hAnsi="Times New Roman"/>
          <w:bCs/>
          <w:kern w:val="44"/>
        </w:rPr>
        <w:t>（1</w:t>
      </w:r>
      <w:r>
        <w:rPr>
          <w:rFonts w:hint="eastAsia" w:ascii="Times New Roman" w:hAnsi="Times New Roman"/>
          <w:bCs/>
          <w:kern w:val="44"/>
          <w:lang w:val="en-US" w:eastAsia="zh-CN"/>
        </w:rPr>
        <w:t>1</w:t>
      </w:r>
      <w:r>
        <w:rPr>
          <w:rFonts w:hint="eastAsia" w:ascii="Times New Roman" w:hAnsi="Times New Roman"/>
          <w:bCs/>
          <w:kern w:val="44"/>
        </w:rPr>
        <w:t>）</w:t>
      </w:r>
    </w:p>
    <w:p w14:paraId="56EE4261">
      <w:pPr>
        <w:spacing w:line="240" w:lineRule="auto"/>
        <w:jc w:val="right"/>
        <w:rPr>
          <w:rFonts w:hint="eastAsia" w:ascii="Times New Roman" w:hAnsi="Times New Roman" w:eastAsia="宋体"/>
          <w:bCs/>
          <w:kern w:val="44"/>
          <w:lang w:val="en-US" w:eastAsia="zh-CN"/>
        </w:rPr>
      </w:pPr>
      <m:oMath>
        <m:sSub>
          <m:sSubPr>
            <m:ctrlPr>
              <w:rPr>
                <w:rFonts w:ascii="Cambria Math" w:hAnsi="Cambria Math"/>
                <w:bCs/>
                <w:i/>
                <w:kern w:val="44"/>
              </w:rPr>
            </m:ctrlPr>
          </m:sSubPr>
          <m:e>
            <m:r>
              <m:rPr/>
              <w:rPr>
                <w:rFonts w:hint="default" w:ascii="Cambria Math" w:hAnsi="Cambria Math"/>
                <w:kern w:val="44"/>
                <w:lang w:val="en-US" w:eastAsia="zh-CN"/>
              </w:rPr>
              <m:t>C</m:t>
            </m:r>
            <m:ctrlPr>
              <w:rPr>
                <w:rFonts w:ascii="Cambria Math" w:hAnsi="Cambria Math"/>
                <w:bCs/>
                <w:i/>
                <w:kern w:val="44"/>
              </w:rPr>
            </m:ctrlPr>
          </m:e>
          <m:sub>
            <m:r>
              <m:rPr/>
              <w:rPr>
                <w:rFonts w:hint="default" w:ascii="Cambria Math" w:hAnsi="Cambria Math"/>
                <w:kern w:val="44"/>
                <w:lang w:val="en-US" w:eastAsia="zh-CN"/>
              </w:rPr>
              <m:t>t</m:t>
            </m:r>
            <m:ctrlPr>
              <w:rPr>
                <w:rFonts w:ascii="Cambria Math" w:hAnsi="Cambria Math"/>
                <w:bCs/>
                <w:i/>
                <w:kern w:val="44"/>
              </w:rPr>
            </m:ctrlPr>
          </m:sub>
        </m:sSub>
        <m:r>
          <m:rPr/>
          <w:rPr>
            <w:rFonts w:hint="default" w:ascii="Cambria Math" w:hAnsi="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s</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s</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b</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b</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l</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l</m:t>
            </m:r>
            <m:ctrlPr>
              <w:rPr>
                <w:rFonts w:hint="default" w:ascii="Cambria Math" w:hAnsi="Cambria Math" w:cs="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bCs/>
                <w:i/>
                <w:kern w:val="44"/>
                <w:lang w:val="en-US" w:eastAsia="zh-CN"/>
              </w:rPr>
            </m:ctrlPr>
          </m:sSubPr>
          <m:e>
            <m:r>
              <m:rPr/>
              <w:rPr>
                <w:rFonts w:hint="default" w:ascii="Cambria Math" w:hAnsi="Cambria Math"/>
                <w:kern w:val="44"/>
                <w:lang w:val="en-US" w:eastAsia="zh-CN"/>
              </w:rPr>
              <m:t>W</m:t>
            </m:r>
            <m:ctrlPr>
              <w:rPr>
                <w:rFonts w:hint="default" w:ascii="Cambria Math" w:hAnsi="Cambria Math"/>
                <w:bCs/>
                <w:i/>
                <w:kern w:val="44"/>
                <w:lang w:val="en-US" w:eastAsia="zh-CN"/>
              </w:rPr>
            </m:ctrlPr>
          </m:e>
          <m:sub>
            <m:r>
              <m:rPr/>
              <w:rPr>
                <w:rFonts w:hint="default" w:ascii="Cambria Math" w:hAnsi="Cambria Math"/>
                <w:kern w:val="44"/>
                <w:lang w:val="en-US" w:eastAsia="zh-CN"/>
              </w:rPr>
              <m:t>r</m:t>
            </m:r>
            <m:ctrlPr>
              <w:rPr>
                <w:rFonts w:hint="default" w:ascii="Cambria Math" w:hAnsi="Cambria Math"/>
                <w:bCs/>
                <w:i/>
                <w:kern w:val="44"/>
                <w:lang w:val="en-US" w:eastAsia="zh-CN"/>
              </w:rPr>
            </m:ctrlPr>
          </m:sub>
        </m:sSub>
        <m:r>
          <m:rPr/>
          <w:rPr>
            <w:rFonts w:hint="default" w:ascii="Cambria Math" w:hAnsi="Cambria Math" w:cs="Cambria Math"/>
            <w:kern w:val="44"/>
            <w:lang w:val="en-US" w:eastAsia="zh-CN"/>
          </w:rPr>
          <m:t>×</m:t>
        </m:r>
        <m:sSub>
          <m:sSubPr>
            <m:ctrlPr>
              <w:rPr>
                <w:rFonts w:hint="default" w:ascii="Cambria Math" w:hAnsi="Cambria Math" w:cs="Cambria Math"/>
                <w:bCs/>
                <w:i/>
                <w:kern w:val="44"/>
                <w:lang w:val="en-US" w:eastAsia="zh-CN"/>
              </w:rPr>
            </m:ctrlPr>
          </m:sSubPr>
          <m:e>
            <m:r>
              <m:rPr/>
              <w:rPr>
                <w:rFonts w:hint="default" w:ascii="Cambria Math" w:hAnsi="Cambria Math" w:cs="Cambria Math"/>
                <w:kern w:val="44"/>
                <w:lang w:val="en-US" w:eastAsia="zh-CN"/>
              </w:rPr>
              <m:t>CF</m:t>
            </m:r>
            <m:ctrlPr>
              <w:rPr>
                <w:rFonts w:hint="default" w:ascii="Cambria Math" w:hAnsi="Cambria Math" w:cs="Cambria Math"/>
                <w:bCs/>
                <w:i/>
                <w:kern w:val="44"/>
                <w:lang w:val="en-US" w:eastAsia="zh-CN"/>
              </w:rPr>
            </m:ctrlPr>
          </m:e>
          <m:sub>
            <m:r>
              <m:rPr/>
              <w:rPr>
                <w:rFonts w:hint="default" w:ascii="Cambria Math" w:hAnsi="Cambria Math" w:cs="Cambria Math"/>
                <w:kern w:val="44"/>
                <w:lang w:val="en-US" w:eastAsia="zh-CN"/>
              </w:rPr>
              <m:t>r</m:t>
            </m:r>
            <m:ctrlPr>
              <w:rPr>
                <w:rFonts w:hint="default" w:ascii="Cambria Math" w:hAnsi="Cambria Math" w:cs="Cambria Math"/>
                <w:bCs/>
                <w:i/>
                <w:kern w:val="44"/>
                <w:lang w:val="en-US" w:eastAsia="zh-CN"/>
              </w:rPr>
            </m:ctrlPr>
          </m:sub>
        </m:sSub>
      </m:oMath>
      <w:r>
        <w:rPr>
          <w:rFonts w:ascii="Times New Roman" w:hAnsi="Times New Roman"/>
          <w:bCs/>
          <w:kern w:val="44"/>
        </w:rPr>
        <w:t>………………………………</w:t>
      </w:r>
      <w:r>
        <w:rPr>
          <w:rFonts w:hint="eastAsia" w:ascii="Times New Roman" w:hAnsi="Times New Roman"/>
          <w:bCs/>
          <w:kern w:val="44"/>
        </w:rPr>
        <w:t>（1</w:t>
      </w:r>
      <w:r>
        <w:rPr>
          <w:rFonts w:hint="eastAsia" w:ascii="Times New Roman" w:hAnsi="Times New Roman"/>
          <w:bCs/>
          <w:kern w:val="44"/>
          <w:lang w:val="en-US" w:eastAsia="zh-CN"/>
        </w:rPr>
        <w:t>2</w:t>
      </w:r>
      <w:r>
        <w:rPr>
          <w:rFonts w:hint="eastAsia" w:ascii="Times New Roman" w:hAnsi="Times New Roman"/>
          <w:bCs/>
          <w:kern w:val="44"/>
        </w:rPr>
        <w:t>）</w:t>
      </w:r>
    </w:p>
    <w:p w14:paraId="12833E3F">
      <w:pPr>
        <w:pStyle w:val="16"/>
        <w:spacing w:line="240" w:lineRule="auto"/>
        <w:ind w:left="0" w:leftChars="0" w:firstLine="420" w:firstLineChars="200"/>
        <w:rPr>
          <w:color w:val="000000"/>
        </w:rPr>
      </w:pPr>
      <w:r>
        <w:rPr>
          <w:rFonts w:hint="eastAsia"/>
          <w:color w:val="000000"/>
        </w:rPr>
        <w:t>式中：</w:t>
      </w:r>
    </w:p>
    <w:p w14:paraId="4FF7A112">
      <w:pPr>
        <w:pStyle w:val="16"/>
        <w:spacing w:line="240" w:lineRule="auto"/>
        <w:ind w:left="0" w:leftChars="0" w:firstLine="420" w:firstLineChars="200"/>
        <w:rPr>
          <w:color w:val="000000"/>
        </w:rPr>
      </w:pPr>
      <w:r>
        <w:rPr>
          <w:rFonts w:ascii="Cambria Math" w:hAnsi="Cambria Math" w:cs="Cambria Math"/>
          <w:i/>
          <w:iCs/>
          <w:color w:val="000000"/>
        </w:rPr>
        <w:t>𝐶</w:t>
      </w:r>
      <w:r>
        <w:rPr>
          <w:rFonts w:hint="eastAsia"/>
          <w:i/>
          <w:iCs/>
          <w:color w:val="000000"/>
          <w:vertAlign w:val="subscript"/>
        </w:rPr>
        <w:t>t</w:t>
      </w:r>
      <w:r>
        <w:rPr>
          <w:rFonts w:ascii="Times New Roman" w:hAnsi="Times New Roman"/>
          <w:color w:val="000000"/>
        </w:rPr>
        <w:t>——</w:t>
      </w:r>
      <w:r>
        <w:rPr>
          <w:rFonts w:hint="eastAsia" w:ascii="Times New Roman" w:hAnsi="Times New Roman"/>
          <w:color w:val="000000"/>
          <w:lang w:val="en-US" w:eastAsia="zh-CN"/>
        </w:rPr>
        <w:t>单</w:t>
      </w:r>
      <w:r>
        <w:rPr>
          <w:rFonts w:hint="eastAsia"/>
          <w:color w:val="000000"/>
        </w:rPr>
        <w:t>立木含碳量，单位为（kg）；</w:t>
      </w:r>
    </w:p>
    <w:p w14:paraId="7A57AE73">
      <w:pPr>
        <w:spacing w:line="240" w:lineRule="auto"/>
        <w:ind w:firstLine="420" w:firstLineChars="200"/>
        <w:rPr>
          <w:rFonts w:hint="eastAsia" w:hAnsi="宋体"/>
        </w:rPr>
      </w:pPr>
      <w:r>
        <w:rPr>
          <w:i/>
          <w:iCs w:val="0"/>
        </w:rPr>
        <w:t>CF</w:t>
      </w:r>
      <w:r>
        <w:rPr>
          <w:rFonts w:hint="eastAsia"/>
          <w:i/>
          <w:iCs w:val="0"/>
          <w:vertAlign w:val="subscript"/>
          <w:lang w:val="en-US" w:eastAsia="zh-CN"/>
        </w:rPr>
        <w:t>A</w:t>
      </w:r>
      <w:r>
        <w:rPr>
          <w:rFonts w:hint="eastAsia" w:hAnsi="宋体"/>
          <w:i/>
          <w:iCs w:val="0"/>
        </w:rPr>
        <w:t>、</w:t>
      </w:r>
      <w:r>
        <w:rPr>
          <w:i/>
          <w:iCs w:val="0"/>
        </w:rPr>
        <w:t>CF</w:t>
      </w:r>
      <w:r>
        <w:rPr>
          <w:rFonts w:hint="eastAsia"/>
          <w:i/>
          <w:iCs w:val="0"/>
          <w:vertAlign w:val="subscript"/>
          <w:lang w:val="en-US" w:eastAsia="zh-CN"/>
        </w:rPr>
        <w:t>B</w:t>
      </w:r>
      <w:r>
        <w:rPr>
          <w:rFonts w:hint="eastAsia" w:hAnsi="宋体"/>
          <w:i/>
          <w:iCs w:val="0"/>
        </w:rPr>
        <w:t>、</w:t>
      </w:r>
      <w:r>
        <w:rPr>
          <w:i/>
          <w:iCs w:val="0"/>
        </w:rPr>
        <w:t>CF</w:t>
      </w:r>
      <w:r>
        <w:rPr>
          <w:i/>
          <w:iCs w:val="0"/>
          <w:vertAlign w:val="subscript"/>
        </w:rPr>
        <w:t>S</w:t>
      </w:r>
      <w:r>
        <w:rPr>
          <w:rFonts w:hint="eastAsia" w:hAnsi="宋体"/>
          <w:i/>
          <w:iCs w:val="0"/>
        </w:rPr>
        <w:t>、</w:t>
      </w:r>
      <w:r>
        <w:rPr>
          <w:i/>
          <w:iCs w:val="0"/>
        </w:rPr>
        <w:t>CF</w:t>
      </w:r>
      <w:r>
        <w:rPr>
          <w:i/>
          <w:iCs w:val="0"/>
          <w:vertAlign w:val="subscript"/>
        </w:rPr>
        <w:t>b</w:t>
      </w:r>
      <w:r>
        <w:rPr>
          <w:rFonts w:hint="eastAsia" w:hAnsi="宋体"/>
          <w:i/>
          <w:iCs w:val="0"/>
        </w:rPr>
        <w:t>、</w:t>
      </w:r>
      <w:r>
        <w:rPr>
          <w:i/>
          <w:iCs w:val="0"/>
        </w:rPr>
        <w:t>CF</w:t>
      </w:r>
      <w:r>
        <w:rPr>
          <w:i/>
          <w:iCs w:val="0"/>
          <w:vertAlign w:val="subscript"/>
        </w:rPr>
        <w:t>l</w:t>
      </w:r>
      <w:r>
        <w:rPr>
          <w:rFonts w:hint="eastAsia" w:hAnsi="宋体"/>
          <w:i/>
          <w:iCs w:val="0"/>
        </w:rPr>
        <w:t>、</w:t>
      </w:r>
      <w:r>
        <w:rPr>
          <w:i/>
          <w:iCs w:val="0"/>
        </w:rPr>
        <w:t>CF</w:t>
      </w:r>
      <w:r>
        <w:rPr>
          <w:i/>
          <w:iCs w:val="0"/>
          <w:vertAlign w:val="subscript"/>
        </w:rPr>
        <w:t>r</w:t>
      </w:r>
      <w:r>
        <w:rPr>
          <w:rFonts w:ascii="Times New Roman" w:hAnsi="Times New Roman"/>
        </w:rPr>
        <w:t>——</w:t>
      </w:r>
      <w:r>
        <w:rPr>
          <w:rFonts w:hint="eastAsia" w:hAnsi="宋体"/>
        </w:rPr>
        <w:t>分别为</w:t>
      </w:r>
      <w:r>
        <w:rPr>
          <w:rFonts w:hint="eastAsia" w:hAnsi="宋体"/>
          <w:lang w:val="en-US" w:eastAsia="zh-CN"/>
        </w:rPr>
        <w:t>地上、地下、</w:t>
      </w:r>
      <w:r>
        <w:rPr>
          <w:rFonts w:hint="eastAsia" w:hAnsi="宋体"/>
        </w:rPr>
        <w:t>树干、树枝、树叶、树根的含碳系数。</w:t>
      </w:r>
    </w:p>
    <w:p w14:paraId="14186AD9">
      <w:pPr>
        <w:pStyle w:val="105"/>
        <w:spacing w:before="240" w:after="240"/>
      </w:pPr>
      <w:r>
        <w:rPr>
          <w:rFonts w:hint="eastAsia"/>
        </w:rPr>
        <w:t>林分碳储量估算方法</w:t>
      </w:r>
      <w:bookmarkEnd w:id="61"/>
    </w:p>
    <w:p w14:paraId="07C7C540">
      <w:pPr>
        <w:pStyle w:val="106"/>
        <w:spacing w:before="120" w:after="120"/>
      </w:pPr>
      <w:bookmarkStart w:id="62" w:name="_Toc11817"/>
      <w:r>
        <w:rPr>
          <w:rFonts w:hint="eastAsia"/>
        </w:rPr>
        <w:t>标准地</w:t>
      </w:r>
      <w:r>
        <w:rPr>
          <w:rFonts w:hint="eastAsia"/>
          <w:lang w:val="en-US" w:eastAsia="zh-CN"/>
        </w:rPr>
        <w:t>樟子松</w:t>
      </w:r>
      <w:r>
        <w:rPr>
          <w:rFonts w:hint="eastAsia"/>
        </w:rPr>
        <w:t>碳密度</w:t>
      </w:r>
      <w:r>
        <w:rPr>
          <w:rFonts w:hint="eastAsia"/>
          <w:lang w:val="en-US" w:eastAsia="zh-CN"/>
        </w:rPr>
        <w:t>估算</w:t>
      </w:r>
      <w:r>
        <w:rPr>
          <w:rFonts w:hint="eastAsia"/>
        </w:rPr>
        <w:t>方法</w:t>
      </w:r>
      <w:bookmarkEnd w:id="62"/>
    </w:p>
    <w:p w14:paraId="1D6E90B5">
      <w:pPr>
        <w:pStyle w:val="16"/>
        <w:spacing w:line="240" w:lineRule="auto"/>
        <w:ind w:left="0" w:leftChars="0" w:firstLine="420" w:firstLineChars="200"/>
        <w:rPr>
          <w:color w:val="000000"/>
        </w:rPr>
      </w:pPr>
      <w:bookmarkStart w:id="63" w:name="_Toc2987"/>
      <w:r>
        <w:rPr>
          <w:rFonts w:hint="eastAsia"/>
          <w:color w:val="000000"/>
        </w:rPr>
        <w:t>按照</w:t>
      </w:r>
      <w:r>
        <w:rPr>
          <w:rFonts w:hint="eastAsia"/>
        </w:rPr>
        <w:t>GB/T 26424方法</w:t>
      </w:r>
      <w:r>
        <w:rPr>
          <w:rFonts w:hint="eastAsia"/>
          <w:color w:val="000000"/>
        </w:rPr>
        <w:t>在栎类林</w:t>
      </w:r>
      <w:r>
        <w:rPr>
          <w:rFonts w:hint="eastAsia"/>
          <w:color w:val="000000"/>
          <w:lang w:eastAsia="zh-CN"/>
        </w:rPr>
        <w:t>分</w:t>
      </w:r>
      <w:r>
        <w:rPr>
          <w:rFonts w:hint="eastAsia"/>
          <w:color w:val="000000"/>
        </w:rPr>
        <w:t>中设置一定数量的标准地，并进行每木检尺，按照</w:t>
      </w:r>
      <w:r>
        <w:rPr>
          <w:rFonts w:hint="eastAsia"/>
        </w:rPr>
        <w:t>LY/T 2259</w:t>
      </w:r>
      <w:r>
        <w:rPr>
          <w:rFonts w:hint="eastAsia"/>
          <w:lang w:eastAsia="zh-CN"/>
        </w:rPr>
        <w:t>方法进行立木生物量建模样本采集，</w:t>
      </w:r>
      <w:r>
        <w:rPr>
          <w:rFonts w:hint="eastAsia"/>
          <w:color w:val="000000"/>
        </w:rPr>
        <w:t>利用</w:t>
      </w:r>
      <w:r>
        <w:rPr>
          <w:rFonts w:hint="eastAsia"/>
          <w:color w:val="000000"/>
          <w:lang w:eastAsia="zh-CN"/>
        </w:rPr>
        <w:t>上述</w:t>
      </w:r>
      <w:r>
        <w:rPr>
          <w:rFonts w:hint="eastAsia"/>
          <w:color w:val="000000"/>
        </w:rPr>
        <w:t>立木生物量模型和含碳系数，计算标准地栎类碳密度。</w:t>
      </w:r>
    </w:p>
    <w:p w14:paraId="35B2282D">
      <w:pPr>
        <w:spacing w:line="240" w:lineRule="auto"/>
        <w:ind w:firstLine="420" w:firstLineChars="200"/>
      </w:pPr>
      <w:r>
        <w:rPr>
          <w:rFonts w:hint="eastAsia"/>
        </w:rPr>
        <w:t>栎类碳密度（CD）计算公式如下：</w:t>
      </w:r>
    </w:p>
    <w:p w14:paraId="22CB3091">
      <w:pPr>
        <w:pStyle w:val="232"/>
        <w:spacing w:line="240" w:lineRule="auto"/>
        <w:jc w:val="right"/>
        <w:rPr>
          <w:rFonts w:hint="default"/>
          <w:lang w:val="en-US"/>
        </w:rPr>
      </w:pPr>
      <m:oMath>
        <m:r>
          <m:rPr/>
          <w:rPr>
            <w:rFonts w:hint="default" w:ascii="Cambria Math" w:hAnsi="Cambria Math" w:cs="Times New Roman"/>
            <w:kern w:val="44"/>
            <w:sz w:val="21"/>
            <w:szCs w:val="21"/>
            <w:lang w:val="en-US" w:eastAsia="zh-CN" w:bidi="ar-SA"/>
          </w:rPr>
          <m:t>CD=</m:t>
        </m:r>
        <m:f>
          <m:fPr>
            <m:ctrlPr>
              <w:rPr>
                <w:rFonts w:hint="default" w:ascii="Cambria Math" w:hAnsi="Cambria Math" w:cs="Times New Roman"/>
                <w:bCs/>
                <w:i/>
                <w:kern w:val="44"/>
                <w:sz w:val="21"/>
                <w:szCs w:val="21"/>
                <w:lang w:val="en-US" w:eastAsia="zh-CN" w:bidi="ar-SA"/>
              </w:rPr>
            </m:ctrlPr>
          </m:fPr>
          <m:num>
            <m:nary>
              <m:naryPr>
                <m:chr m:val="∑"/>
                <m:limLoc m:val="undOvr"/>
                <m:ctrlPr>
                  <w:rPr>
                    <w:rFonts w:hint="default" w:ascii="Cambria Math" w:hAnsi="Cambria Math" w:cs="Times New Roman"/>
                    <w:bCs/>
                    <w:i/>
                    <w:kern w:val="44"/>
                    <w:sz w:val="21"/>
                    <w:szCs w:val="21"/>
                    <w:lang w:val="en-US" w:eastAsia="zh-CN" w:bidi="ar-SA"/>
                  </w:rPr>
                </m:ctrlPr>
              </m:naryPr>
              <m:sub>
                <m:r>
                  <m:rPr/>
                  <w:rPr>
                    <w:rFonts w:hint="default" w:ascii="Cambria Math" w:hAnsi="Cambria Math" w:cs="Times New Roman"/>
                    <w:kern w:val="44"/>
                    <w:sz w:val="21"/>
                    <w:szCs w:val="21"/>
                    <w:lang w:val="en-US" w:eastAsia="zh-CN" w:bidi="ar-SA"/>
                  </w:rPr>
                  <m:t>i=1</m:t>
                </m:r>
                <m:ctrlPr>
                  <w:rPr>
                    <w:rFonts w:hint="default" w:ascii="Cambria Math" w:hAnsi="Cambria Math" w:cs="Times New Roman"/>
                    <w:bCs/>
                    <w:i/>
                    <w:kern w:val="44"/>
                    <w:sz w:val="21"/>
                    <w:szCs w:val="21"/>
                    <w:lang w:val="en-US" w:eastAsia="zh-CN" w:bidi="ar-SA"/>
                  </w:rPr>
                </m:ctrlPr>
              </m:sub>
              <m:sup>
                <m:r>
                  <m:rPr/>
                  <w:rPr>
                    <w:rFonts w:hint="default" w:ascii="Cambria Math" w:hAnsi="Cambria Math" w:cs="Times New Roman"/>
                    <w:kern w:val="44"/>
                    <w:sz w:val="21"/>
                    <w:szCs w:val="21"/>
                    <w:lang w:val="en-US" w:eastAsia="zh-CN" w:bidi="ar-SA"/>
                  </w:rPr>
                  <m:t>n</m:t>
                </m:r>
                <m:ctrlPr>
                  <w:rPr>
                    <w:rFonts w:hint="default" w:ascii="Cambria Math" w:hAnsi="Cambria Math" w:cs="Times New Roman"/>
                    <w:bCs/>
                    <w:i/>
                    <w:kern w:val="44"/>
                    <w:sz w:val="21"/>
                    <w:szCs w:val="21"/>
                    <w:lang w:val="en-US" w:eastAsia="zh-CN" w:bidi="ar-SA"/>
                  </w:rPr>
                </m:ctrlPr>
              </m:sup>
              <m:e>
                <m:sSub>
                  <m:sSubPr>
                    <m:ctrlPr>
                      <w:rPr>
                        <w:rFonts w:hint="default" w:ascii="Cambria Math" w:hAnsi="Cambria Math" w:cs="Times New Roman"/>
                        <w:bCs/>
                        <w:i/>
                        <w:kern w:val="44"/>
                        <w:sz w:val="21"/>
                        <w:szCs w:val="21"/>
                        <w:lang w:val="en-US" w:eastAsia="zh-CN" w:bidi="ar-SA"/>
                      </w:rPr>
                    </m:ctrlPr>
                  </m:sSubPr>
                  <m:e>
                    <m:r>
                      <m:rPr/>
                      <w:rPr>
                        <w:rFonts w:hint="default" w:ascii="Cambria Math" w:hAnsi="Cambria Math" w:cs="Times New Roman"/>
                        <w:kern w:val="44"/>
                        <w:sz w:val="21"/>
                        <w:szCs w:val="21"/>
                        <w:lang w:val="en-US" w:eastAsia="zh-CN" w:bidi="ar-SA"/>
                      </w:rPr>
                      <m:t>C</m:t>
                    </m:r>
                    <m:ctrlPr>
                      <w:rPr>
                        <w:rFonts w:hint="default" w:ascii="Cambria Math" w:hAnsi="Cambria Math" w:cs="Times New Roman"/>
                        <w:bCs/>
                        <w:i/>
                        <w:kern w:val="44"/>
                        <w:sz w:val="21"/>
                        <w:szCs w:val="21"/>
                        <w:lang w:val="en-US" w:eastAsia="zh-CN" w:bidi="ar-SA"/>
                      </w:rPr>
                    </m:ctrlPr>
                  </m:e>
                  <m:sub>
                    <m:r>
                      <m:rPr/>
                      <w:rPr>
                        <w:rFonts w:hint="default" w:ascii="Cambria Math" w:hAnsi="Cambria Math" w:cs="Times New Roman"/>
                        <w:kern w:val="44"/>
                        <w:sz w:val="21"/>
                        <w:szCs w:val="21"/>
                        <w:lang w:val="en-US" w:eastAsia="zh-CN" w:bidi="ar-SA"/>
                      </w:rPr>
                      <m:t>ti</m:t>
                    </m:r>
                    <m:ctrlPr>
                      <w:rPr>
                        <w:rFonts w:hint="default" w:ascii="Cambria Math" w:hAnsi="Cambria Math" w:cs="Times New Roman"/>
                        <w:bCs/>
                        <w:i/>
                        <w:kern w:val="44"/>
                        <w:sz w:val="21"/>
                        <w:szCs w:val="21"/>
                        <w:lang w:val="en-US" w:eastAsia="zh-CN" w:bidi="ar-SA"/>
                      </w:rPr>
                    </m:ctrlPr>
                  </m:sub>
                </m:sSub>
                <m:ctrlPr>
                  <w:rPr>
                    <w:rFonts w:hint="default" w:ascii="Cambria Math" w:hAnsi="Cambria Math" w:cs="Times New Roman"/>
                    <w:bCs/>
                    <w:i/>
                    <w:kern w:val="44"/>
                    <w:sz w:val="21"/>
                    <w:szCs w:val="21"/>
                    <w:lang w:val="en-US" w:eastAsia="zh-CN" w:bidi="ar-SA"/>
                  </w:rPr>
                </m:ctrlPr>
              </m:e>
            </m:nary>
            <m:ctrlPr>
              <w:rPr>
                <w:rFonts w:hint="default" w:ascii="Cambria Math" w:hAnsi="Cambria Math" w:cs="Times New Roman"/>
                <w:bCs/>
                <w:i/>
                <w:kern w:val="44"/>
                <w:sz w:val="21"/>
                <w:szCs w:val="21"/>
                <w:lang w:val="en-US" w:eastAsia="zh-CN" w:bidi="ar-SA"/>
              </w:rPr>
            </m:ctrlPr>
          </m:num>
          <m:den>
            <m:sSub>
              <m:sSubPr>
                <m:ctrlPr>
                  <w:rPr>
                    <w:rFonts w:hint="default" w:ascii="Cambria Math" w:hAnsi="Cambria Math" w:cs="Times New Roman"/>
                    <w:bCs/>
                    <w:i/>
                    <w:kern w:val="44"/>
                    <w:sz w:val="21"/>
                    <w:szCs w:val="21"/>
                    <w:lang w:val="en-US" w:eastAsia="zh-CN" w:bidi="ar-SA"/>
                  </w:rPr>
                </m:ctrlPr>
              </m:sSubPr>
              <m:e>
                <m:r>
                  <m:rPr/>
                  <w:rPr>
                    <w:rFonts w:hint="default" w:ascii="Cambria Math" w:hAnsi="Cambria Math" w:cs="Times New Roman"/>
                    <w:kern w:val="44"/>
                    <w:sz w:val="21"/>
                    <w:szCs w:val="21"/>
                    <w:lang w:val="en-US" w:eastAsia="zh-CN" w:bidi="ar-SA"/>
                  </w:rPr>
                  <m:t>S</m:t>
                </m:r>
                <m:ctrlPr>
                  <w:rPr>
                    <w:rFonts w:hint="default" w:ascii="Cambria Math" w:hAnsi="Cambria Math" w:cs="Times New Roman"/>
                    <w:bCs/>
                    <w:i/>
                    <w:kern w:val="44"/>
                    <w:sz w:val="21"/>
                    <w:szCs w:val="21"/>
                    <w:lang w:val="en-US" w:eastAsia="zh-CN" w:bidi="ar-SA"/>
                  </w:rPr>
                </m:ctrlPr>
              </m:e>
              <m:sub>
                <m:r>
                  <m:rPr/>
                  <w:rPr>
                    <w:rFonts w:hint="default" w:ascii="Cambria Math" w:hAnsi="Cambria Math" w:cs="Times New Roman"/>
                    <w:kern w:val="44"/>
                    <w:sz w:val="21"/>
                    <w:szCs w:val="21"/>
                    <w:lang w:val="en-US" w:eastAsia="zh-CN" w:bidi="ar-SA"/>
                  </w:rPr>
                  <m:t>st</m:t>
                </m:r>
                <m:ctrlPr>
                  <w:rPr>
                    <w:rFonts w:hint="default" w:ascii="Cambria Math" w:hAnsi="Cambria Math" w:cs="Times New Roman"/>
                    <w:bCs/>
                    <w:i/>
                    <w:kern w:val="44"/>
                    <w:sz w:val="21"/>
                    <w:szCs w:val="21"/>
                    <w:lang w:val="en-US" w:eastAsia="zh-CN" w:bidi="ar-SA"/>
                  </w:rPr>
                </m:ctrlPr>
              </m:sub>
            </m:sSub>
            <m:ctrlPr>
              <w:rPr>
                <w:rFonts w:hint="default" w:ascii="Cambria Math" w:hAnsi="Cambria Math" w:cs="Times New Roman"/>
                <w:bCs/>
                <w:i/>
                <w:kern w:val="44"/>
                <w:sz w:val="21"/>
                <w:szCs w:val="21"/>
                <w:lang w:val="en-US" w:eastAsia="zh-CN" w:bidi="ar-SA"/>
              </w:rPr>
            </m:ctrlPr>
          </m:den>
        </m:f>
      </m:oMath>
      <w:r>
        <w:t>………………………………………………………………</w:t>
      </w:r>
      <w:r>
        <w:rPr>
          <w:rFonts w:hint="eastAsia"/>
        </w:rPr>
        <w:t>（</w:t>
      </w:r>
      <w:r>
        <w:t>1</w:t>
      </w:r>
      <w:r>
        <w:rPr>
          <w:rFonts w:hint="eastAsia"/>
          <w:lang w:val="en-US" w:eastAsia="zh-CN"/>
        </w:rPr>
        <w:t>3</w:t>
      </w:r>
      <w:r>
        <w:rPr>
          <w:rFonts w:hint="eastAsia"/>
        </w:rPr>
        <w:t>）</w:t>
      </w:r>
    </w:p>
    <w:p w14:paraId="60E111FB">
      <w:pPr>
        <w:spacing w:line="240" w:lineRule="auto"/>
        <w:ind w:firstLine="420" w:firstLineChars="200"/>
      </w:pPr>
      <w:r>
        <w:rPr>
          <w:rFonts w:hint="eastAsia"/>
        </w:rPr>
        <w:t>式中：</w:t>
      </w:r>
    </w:p>
    <w:p w14:paraId="357BB123">
      <w:pPr>
        <w:spacing w:line="240" w:lineRule="auto"/>
        <w:ind w:firstLine="420" w:firstLineChars="200"/>
      </w:pPr>
      <w:r>
        <w:rPr>
          <w:rFonts w:hint="eastAsia" w:ascii="Times New Roman" w:hAnsi="Times New Roman"/>
          <w:i/>
          <w:iCs/>
          <w:lang w:val="en-US" w:eastAsia="zh-CN"/>
        </w:rPr>
        <w:t xml:space="preserve">CD </w:t>
      </w:r>
      <w:r>
        <w:rPr>
          <w:rFonts w:ascii="Times New Roman" w:hAnsi="Times New Roman" w:eastAsia="仿宋"/>
        </w:rPr>
        <w:t>——</w:t>
      </w:r>
      <w:r>
        <w:rPr>
          <w:rFonts w:hint="eastAsia"/>
        </w:rPr>
        <w:t>标准地栎类碳密度，单位为千克</w:t>
      </w:r>
      <w:r>
        <w:t>/</w:t>
      </w:r>
      <w:r>
        <w:rPr>
          <w:rFonts w:hint="eastAsia"/>
        </w:rPr>
        <w:t>平方米（kg</w:t>
      </w:r>
      <w:r>
        <w:t>/ m</w:t>
      </w:r>
      <w:r>
        <w:rPr>
          <w:vertAlign w:val="superscript"/>
        </w:rPr>
        <w:t>2</w:t>
      </w:r>
      <w:r>
        <w:rPr>
          <w:rFonts w:hint="eastAsia"/>
        </w:rPr>
        <w:t>）；</w:t>
      </w:r>
    </w:p>
    <w:p w14:paraId="373E4969">
      <w:pPr>
        <w:snapToGrid w:val="0"/>
        <w:spacing w:line="240" w:lineRule="auto"/>
        <w:ind w:firstLine="420" w:firstLineChars="200"/>
        <w:rPr>
          <w:rFonts w:ascii="Times New Roman" w:hAnsi="Times New Roman" w:eastAsia="仿宋"/>
        </w:rPr>
      </w:pPr>
      <w:r>
        <w:rPr>
          <w:rFonts w:hint="eastAsia" w:ascii="Times New Roman" w:hAnsi="Times New Roman"/>
          <w:i/>
          <w:iCs/>
          <w:lang w:val="en-US" w:eastAsia="zh-CN"/>
        </w:rPr>
        <w:t>C</w:t>
      </w:r>
      <w:r>
        <w:rPr>
          <w:rFonts w:hint="eastAsia" w:ascii="Times New Roman" w:hAnsi="Times New Roman"/>
          <w:i/>
          <w:iCs/>
          <w:vertAlign w:val="subscript"/>
          <w:lang w:val="en-US" w:eastAsia="zh-CN"/>
        </w:rPr>
        <w:t xml:space="preserve">ti  </w:t>
      </w:r>
      <w:r>
        <w:rPr>
          <w:rFonts w:ascii="Times New Roman" w:hAnsi="Times New Roman" w:eastAsia="仿宋"/>
        </w:rPr>
        <w:t>——</w:t>
      </w:r>
      <w:r>
        <w:rPr>
          <w:rFonts w:hint="eastAsia"/>
          <w:lang w:val="en-US" w:eastAsia="zh-CN"/>
        </w:rPr>
        <w:t>标准地第i株栎类单立木含碳量，</w:t>
      </w:r>
      <w:r>
        <w:rPr>
          <w:rFonts w:hint="eastAsia"/>
          <w:color w:val="000000"/>
        </w:rPr>
        <w:t>单位为（kg）；</w:t>
      </w:r>
    </w:p>
    <w:p w14:paraId="7C9D2673">
      <w:pPr>
        <w:snapToGrid w:val="0"/>
        <w:spacing w:line="240" w:lineRule="auto"/>
        <w:ind w:firstLine="420" w:firstLineChars="200"/>
      </w:pPr>
      <w:r>
        <w:rPr>
          <w:rFonts w:hint="eastAsia" w:ascii="Times New Roman" w:hAnsi="Times New Roman"/>
          <w:i/>
          <w:iCs/>
          <w:lang w:val="en-US" w:eastAsia="zh-CN"/>
        </w:rPr>
        <w:t>S</w:t>
      </w:r>
      <w:r>
        <w:rPr>
          <w:rFonts w:hint="eastAsia" w:ascii="Times New Roman" w:hAnsi="Times New Roman"/>
          <w:i/>
          <w:iCs/>
          <w:vertAlign w:val="subscript"/>
          <w:lang w:val="en-US" w:eastAsia="zh-CN"/>
        </w:rPr>
        <w:t xml:space="preserve">st  </w:t>
      </w:r>
      <w:r>
        <w:rPr>
          <w:rFonts w:ascii="Times New Roman" w:hAnsi="Times New Roman" w:eastAsia="仿宋"/>
        </w:rPr>
        <w:t>——</w:t>
      </w:r>
      <w:r>
        <w:rPr>
          <w:rFonts w:hint="eastAsia"/>
        </w:rPr>
        <w:t>标准地面积，单位为平方米（</w:t>
      </w:r>
      <w:r>
        <w:t>m</w:t>
      </w:r>
      <w:r>
        <w:rPr>
          <w:vertAlign w:val="superscript"/>
        </w:rPr>
        <w:t>2</w:t>
      </w:r>
      <w:r>
        <w:rPr>
          <w:rFonts w:hint="eastAsia"/>
        </w:rPr>
        <w:t>）；</w:t>
      </w:r>
    </w:p>
    <w:p w14:paraId="5842D2A9">
      <w:pPr>
        <w:pStyle w:val="106"/>
        <w:spacing w:before="120" w:after="120"/>
      </w:pPr>
      <w:r>
        <w:rPr>
          <w:rFonts w:hint="eastAsia"/>
        </w:rPr>
        <w:t>林分碳储量计算方法</w:t>
      </w:r>
      <w:bookmarkEnd w:id="63"/>
    </w:p>
    <w:p w14:paraId="16987523">
      <w:pPr>
        <w:spacing w:line="240" w:lineRule="auto"/>
        <w:ind w:firstLine="420" w:firstLineChars="200"/>
      </w:pPr>
      <w:r>
        <w:rPr>
          <w:rFonts w:hint="eastAsia"/>
        </w:rPr>
        <w:t>樟子松林分碳储量计算公式如下：</w:t>
      </w:r>
    </w:p>
    <w:p w14:paraId="6ABEB1C0">
      <w:pPr>
        <w:spacing w:line="240" w:lineRule="auto"/>
        <w:ind w:firstLine="420" w:firstLineChars="200"/>
        <w:jc w:val="right"/>
      </w:pPr>
      <m:oMath>
        <w:bookmarkStart w:id="64" w:name="_Toc5412"/>
        <m:r>
          <m:rPr/>
          <w:rPr>
            <w:rFonts w:ascii="Cambria Math" w:hAnsi="Cambria Math"/>
          </w:rPr>
          <m:t>CTO=(CD+DO)×10S</m:t>
        </m:r>
      </m:oMath>
      <w:r>
        <w:t>…………………………………………………</w:t>
      </w:r>
      <w:r>
        <w:rPr>
          <w:rFonts w:hint="eastAsia"/>
        </w:rPr>
        <w:t>（</w:t>
      </w:r>
      <w:r>
        <w:t>1</w:t>
      </w:r>
      <w:r>
        <w:rPr>
          <w:rFonts w:hint="eastAsia"/>
          <w:lang w:val="en-US" w:eastAsia="zh-CN"/>
        </w:rPr>
        <w:t>4</w:t>
      </w:r>
      <w:r>
        <w:rPr>
          <w:rFonts w:hint="eastAsia"/>
        </w:rPr>
        <w:t>）</w:t>
      </w:r>
    </w:p>
    <w:p w14:paraId="30B601A5">
      <w:pPr>
        <w:spacing w:line="240" w:lineRule="auto"/>
        <w:ind w:firstLine="420" w:firstLineChars="200"/>
      </w:pPr>
      <w:r>
        <w:rPr>
          <w:rFonts w:hint="eastAsia" w:eastAsia="仿宋"/>
          <w:i/>
          <w:iCs/>
        </w:rPr>
        <w:t>CTO</w:t>
      </w:r>
      <w:r>
        <w:rPr>
          <w:rFonts w:ascii="Times New Roman" w:hAnsi="Times New Roman" w:eastAsia="仿宋"/>
        </w:rPr>
        <w:t>——</w:t>
      </w:r>
      <w:r>
        <w:rPr>
          <w:rFonts w:hint="eastAsia"/>
        </w:rPr>
        <w:t>待评估林分碳储量，单位为吨/公顷（t/h</w:t>
      </w:r>
      <w:r>
        <w:t>m</w:t>
      </w:r>
      <w:r>
        <w:rPr>
          <w:vertAlign w:val="superscript"/>
        </w:rPr>
        <w:t>2</w:t>
      </w:r>
      <w:r>
        <w:rPr>
          <w:rFonts w:hint="eastAsia"/>
        </w:rPr>
        <w:t>）；</w:t>
      </w:r>
    </w:p>
    <w:p w14:paraId="5169EA30">
      <w:pPr>
        <w:spacing w:line="240" w:lineRule="auto"/>
        <w:ind w:firstLine="420" w:firstLineChars="200"/>
      </w:pPr>
      <w:r>
        <w:rPr>
          <w:rFonts w:hint="eastAsia" w:ascii="Times New Roman" w:hAnsi="Times New Roman"/>
          <w:i/>
          <w:iCs/>
          <w:lang w:val="en-US" w:eastAsia="zh-CN"/>
        </w:rPr>
        <w:t xml:space="preserve">CD </w:t>
      </w:r>
      <w:r>
        <w:rPr>
          <w:rFonts w:ascii="Times New Roman" w:hAnsi="Times New Roman" w:eastAsia="仿宋"/>
        </w:rPr>
        <w:t>——</w:t>
      </w:r>
      <w:r>
        <w:rPr>
          <w:rFonts w:hint="eastAsia"/>
        </w:rPr>
        <w:t>标准地栎类碳密度，单位为千克</w:t>
      </w:r>
      <w:r>
        <w:t>/</w:t>
      </w:r>
      <w:r>
        <w:rPr>
          <w:rFonts w:hint="eastAsia"/>
        </w:rPr>
        <w:t>平方米（kg</w:t>
      </w:r>
      <w:r>
        <w:t>/m</w:t>
      </w:r>
      <w:r>
        <w:rPr>
          <w:vertAlign w:val="superscript"/>
        </w:rPr>
        <w:t>2</w:t>
      </w:r>
      <w:r>
        <w:rPr>
          <w:rFonts w:hint="eastAsia"/>
        </w:rPr>
        <w:t>）；</w:t>
      </w:r>
    </w:p>
    <w:p w14:paraId="674A05B5">
      <w:pPr>
        <w:spacing w:line="240" w:lineRule="auto"/>
        <w:ind w:firstLine="420" w:firstLineChars="200"/>
      </w:pPr>
      <w:r>
        <w:rPr>
          <w:rFonts w:hint="eastAsia" w:ascii="Times New Roman" w:hAnsi="Times New Roman"/>
          <w:i/>
          <w:iCs/>
          <w:lang w:val="en-US" w:eastAsia="zh-CN"/>
        </w:rPr>
        <w:t xml:space="preserve">DO </w:t>
      </w:r>
      <w:r>
        <w:rPr>
          <w:rFonts w:ascii="Times New Roman" w:hAnsi="Times New Roman"/>
        </w:rPr>
        <w:t>——</w:t>
      </w:r>
      <w:r>
        <w:rPr>
          <w:rFonts w:hint="eastAsia"/>
        </w:rPr>
        <w:t>标准地其他组成树种碳密度，单位为千克</w:t>
      </w:r>
      <w:r>
        <w:t>/</w:t>
      </w:r>
      <w:r>
        <w:rPr>
          <w:rFonts w:hint="eastAsia"/>
        </w:rPr>
        <w:t>平方米（kg</w:t>
      </w:r>
      <w:r>
        <w:t>/m</w:t>
      </w:r>
      <w:r>
        <w:rPr>
          <w:vertAlign w:val="superscript"/>
        </w:rPr>
        <w:t>2</w:t>
      </w:r>
      <w:r>
        <w:rPr>
          <w:rFonts w:hint="eastAsia"/>
        </w:rPr>
        <w:t>）；</w:t>
      </w:r>
    </w:p>
    <w:p w14:paraId="1DC9DB87">
      <w:pPr>
        <w:spacing w:line="240" w:lineRule="auto"/>
        <w:ind w:firstLine="420" w:firstLineChars="200"/>
        <w:jc w:val="left"/>
      </w:pPr>
      <m:oMath>
        <m:r>
          <m:rPr/>
          <w:rPr>
            <w:rFonts w:ascii="Cambria Math" w:hAnsi="Cambria Math"/>
          </w:rPr>
          <m:t>S</m:t>
        </m:r>
      </m:oMath>
      <w:r>
        <w:rPr>
          <w:rFonts w:hint="eastAsia" w:hAnsi="Cambria Math"/>
          <w:i w:val="0"/>
          <w:lang w:val="en-US" w:eastAsia="zh-CN"/>
        </w:rPr>
        <w:t xml:space="preserve">  </w:t>
      </w:r>
      <w:r>
        <w:rPr>
          <w:rFonts w:ascii="Times New Roman" w:hAnsi="Times New Roman" w:eastAsia="仿宋"/>
        </w:rPr>
        <w:t>——</w:t>
      </w:r>
      <w:r>
        <w:rPr>
          <w:rFonts w:hint="eastAsia"/>
        </w:rPr>
        <w:t>待评估林分面积，单位为公顷（h</w:t>
      </w:r>
      <w:r>
        <w:t>m</w:t>
      </w:r>
      <w:r>
        <w:rPr>
          <w:vertAlign w:val="superscript"/>
        </w:rPr>
        <w:t>2</w:t>
      </w:r>
      <w:r>
        <w:rPr>
          <w:rFonts w:hint="eastAsia"/>
        </w:rPr>
        <w:t>）。</w:t>
      </w:r>
    </w:p>
    <w:p w14:paraId="10CAB8FC">
      <w:pPr>
        <w:pStyle w:val="105"/>
        <w:spacing w:before="240" w:after="240"/>
      </w:pPr>
      <w:r>
        <w:rPr>
          <w:rFonts w:hint="eastAsia"/>
        </w:rPr>
        <w:t>应用</w:t>
      </w:r>
      <w:bookmarkEnd w:id="64"/>
    </w:p>
    <w:p w14:paraId="2D685182">
      <w:pPr>
        <w:pStyle w:val="57"/>
        <w:ind w:firstLine="420"/>
      </w:pPr>
      <w:r>
        <w:rPr>
          <w:rFonts w:hint="eastAsia"/>
        </w:rPr>
        <w:t>本标准建模的数据采样范围为黑龙江省林区，应用时应与建模地域范围一致。在估算林分地上碳储量、地下碳储量和总碳储量的情况下，宜采用二元生物量模型及其参数值；在估算树干、树枝、树叶、树根分项碳储量的情况下，宜采用相容性生物量模型及其参数值，以保证分项之间的相容性。</w:t>
      </w:r>
    </w:p>
    <w:p w14:paraId="4C2766D9">
      <w:pPr>
        <w:pStyle w:val="57"/>
        <w:ind w:firstLine="420"/>
      </w:pPr>
    </w:p>
    <w:p w14:paraId="1EA181BA">
      <w:pPr>
        <w:pStyle w:val="105"/>
        <w:spacing w:before="240" w:after="240"/>
      </w:pPr>
      <w:bookmarkStart w:id="65" w:name="_Toc20141"/>
      <w:r>
        <w:rPr>
          <w:rFonts w:hint="eastAsia"/>
        </w:rPr>
        <w:t>技术档案</w:t>
      </w:r>
      <w:bookmarkEnd w:id="65"/>
    </w:p>
    <w:p w14:paraId="34FA8FD1">
      <w:pPr>
        <w:pStyle w:val="57"/>
        <w:ind w:firstLine="420"/>
      </w:pPr>
      <w:r>
        <w:rPr>
          <w:rFonts w:hint="eastAsia"/>
        </w:rPr>
        <w:t>应建立技术档案，内容包括：标准地调查记录、每木检尺数据、立木生物量计算过程、模型参数表、含碳系数测定数据、林分碳密度估算结果、林分碳储量估算结果和应用说明。</w:t>
      </w:r>
    </w:p>
    <w:bookmarkEnd w:id="24"/>
    <w:p w14:paraId="0B6C1733">
      <w:pPr>
        <w:pStyle w:val="199"/>
        <w:rPr>
          <w:rFonts w:hint="eastAsia"/>
          <w:vanish w:val="0"/>
        </w:rPr>
      </w:pPr>
      <w:bookmarkStart w:id="66" w:name="BookMark5"/>
    </w:p>
    <w:p w14:paraId="4CC2C3F0">
      <w:pPr>
        <w:pStyle w:val="200"/>
        <w:rPr>
          <w:vanish w:val="0"/>
        </w:rPr>
      </w:pPr>
    </w:p>
    <w:bookmarkEnd w:id="66"/>
    <w:p w14:paraId="66E3A1CE">
      <w:pPr>
        <w:pStyle w:val="57"/>
        <w:ind w:firstLine="0" w:firstLineChars="0"/>
        <w:jc w:val="center"/>
      </w:pPr>
      <w:bookmarkStart w:id="67" w:name="BookMark8"/>
      <w:r>
        <w:rPr>
          <w:rFonts w:hint="eastAsia"/>
        </w:rPr>
        <w:drawing>
          <wp:inline distT="0" distB="0" distL="0" distR="0">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67"/>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Segoe UI Emoji">
    <w:panose1 w:val="020B0502040204020203"/>
    <w:charset w:val="00"/>
    <w:family w:val="auto"/>
    <w:pitch w:val="default"/>
    <w:sig w:usb0="00000001" w:usb1="02000000" w:usb2="08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6E1B7">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5D949">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8BBC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D0AC4">
    <w:pPr>
      <w:pStyle w:val="53"/>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B1749">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811B">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72B8">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D6749">
    <w:pPr>
      <w:pStyle w:val="62"/>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4BA1C">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BE8"/>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31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F92"/>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068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F06"/>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148"/>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FF1"/>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1F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5173A"/>
    <w:rsid w:val="00853D29"/>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4F6"/>
    <w:rsid w:val="0089049D"/>
    <w:rsid w:val="008928C9"/>
    <w:rsid w:val="00892BA7"/>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4E7"/>
    <w:rsid w:val="00975727"/>
    <w:rsid w:val="00977010"/>
    <w:rsid w:val="00977D02"/>
    <w:rsid w:val="00977D97"/>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CDB"/>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E9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D5B44"/>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435"/>
    <w:rsid w:val="00EF51E4"/>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070C"/>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1C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73BE8"/>
    <w:rsid w:val="02104022"/>
    <w:rsid w:val="02975A16"/>
    <w:rsid w:val="04BE5FB8"/>
    <w:rsid w:val="06BF7DC5"/>
    <w:rsid w:val="06DD024B"/>
    <w:rsid w:val="08D26175"/>
    <w:rsid w:val="0A430D0D"/>
    <w:rsid w:val="0FA26D94"/>
    <w:rsid w:val="0FC82A9E"/>
    <w:rsid w:val="124D2729"/>
    <w:rsid w:val="12C624DB"/>
    <w:rsid w:val="15F41EFD"/>
    <w:rsid w:val="1EA20C03"/>
    <w:rsid w:val="1ED12B42"/>
    <w:rsid w:val="21D55426"/>
    <w:rsid w:val="22DD5403"/>
    <w:rsid w:val="298B3A3F"/>
    <w:rsid w:val="29C0782D"/>
    <w:rsid w:val="2BBD4024"/>
    <w:rsid w:val="2D7244B9"/>
    <w:rsid w:val="332B3F69"/>
    <w:rsid w:val="35710491"/>
    <w:rsid w:val="37C8622A"/>
    <w:rsid w:val="3A773F37"/>
    <w:rsid w:val="3AEA64B7"/>
    <w:rsid w:val="3C834E15"/>
    <w:rsid w:val="3D073351"/>
    <w:rsid w:val="3DDF32FA"/>
    <w:rsid w:val="40E67721"/>
    <w:rsid w:val="410A1661"/>
    <w:rsid w:val="43317379"/>
    <w:rsid w:val="44626C63"/>
    <w:rsid w:val="45BC4EF4"/>
    <w:rsid w:val="4D7A191D"/>
    <w:rsid w:val="4E8F394F"/>
    <w:rsid w:val="4F4D2703"/>
    <w:rsid w:val="4F691C49"/>
    <w:rsid w:val="56C3350C"/>
    <w:rsid w:val="56F87AB1"/>
    <w:rsid w:val="59101387"/>
    <w:rsid w:val="5A586B7E"/>
    <w:rsid w:val="5F4D0D43"/>
    <w:rsid w:val="62764951"/>
    <w:rsid w:val="62EF64B1"/>
    <w:rsid w:val="63213DB0"/>
    <w:rsid w:val="65385EEE"/>
    <w:rsid w:val="6723497B"/>
    <w:rsid w:val="674C7A2E"/>
    <w:rsid w:val="6B144D07"/>
    <w:rsid w:val="6DBB590E"/>
    <w:rsid w:val="70EB02B8"/>
    <w:rsid w:val="738549F4"/>
    <w:rsid w:val="79C30024"/>
    <w:rsid w:val="7A9C2887"/>
    <w:rsid w:val="7C5E5DE2"/>
    <w:rsid w:val="7C6929D9"/>
    <w:rsid w:val="7F0C0854"/>
    <w:rsid w:val="7F65356F"/>
    <w:rsid w:val="7FD00E79"/>
    <w:rsid w:val="7FEF4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Date"/>
    <w:basedOn w:val="1"/>
    <w:next w:val="1"/>
    <w:qFormat/>
    <w:uiPriority w:val="99"/>
    <w:pPr>
      <w:ind w:left="100" w:leftChars="2500"/>
    </w:p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9"/>
    <w:qFormat/>
    <w:uiPriority w:val="99"/>
    <w:rPr>
      <w:kern w:val="2"/>
      <w:sz w:val="18"/>
      <w:szCs w:val="18"/>
    </w:rPr>
  </w:style>
  <w:style w:type="character" w:customStyle="1" w:styleId="45">
    <w:name w:val="页脚 字符"/>
    <w:link w:val="18"/>
    <w:qFormat/>
    <w:uiPriority w:val="99"/>
    <w:rPr>
      <w:rFonts w:ascii="宋体"/>
      <w:kern w:val="2"/>
      <w:sz w:val="18"/>
      <w:szCs w:val="18"/>
    </w:rPr>
  </w:style>
  <w:style w:type="character" w:customStyle="1" w:styleId="46">
    <w:name w:val="批注框文本 字符"/>
    <w:link w:val="17"/>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kern w:val="2"/>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公式"/>
    <w:basedOn w:val="1"/>
    <w:qFormat/>
    <w:uiPriority w:val="0"/>
    <w:pPr>
      <w:tabs>
        <w:tab w:val="center" w:pos="4366"/>
        <w:tab w:val="right" w:pos="10319"/>
      </w:tabs>
      <w:jc w:val="center"/>
      <w:outlineLvl w:val="1"/>
    </w:pPr>
    <w:rPr>
      <w:bCs/>
      <w:kern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2" Type="http://schemas.openxmlformats.org/officeDocument/2006/relationships/glossaryDocument" Target="glossary/document.xml"/><Relationship Id="rId51" Type="http://schemas.openxmlformats.org/officeDocument/2006/relationships/fontTable" Target="fontTable.xml"/><Relationship Id="rId50" Type="http://schemas.openxmlformats.org/officeDocument/2006/relationships/customXml" Target="../customXml/item2.xml"/><Relationship Id="rId5" Type="http://schemas.openxmlformats.org/officeDocument/2006/relationships/header" Target="head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17.wmf"/><Relationship Id="rId46" Type="http://schemas.openxmlformats.org/officeDocument/2006/relationships/oleObject" Target="embeddings/oleObject16.bin"/><Relationship Id="rId45" Type="http://schemas.openxmlformats.org/officeDocument/2006/relationships/image" Target="media/image16.wmf"/><Relationship Id="rId44" Type="http://schemas.openxmlformats.org/officeDocument/2006/relationships/oleObject" Target="embeddings/oleObject15.bin"/><Relationship Id="rId43" Type="http://schemas.openxmlformats.org/officeDocument/2006/relationships/image" Target="media/image15.wmf"/><Relationship Id="rId42" Type="http://schemas.openxmlformats.org/officeDocument/2006/relationships/oleObject" Target="embeddings/oleObject14.bin"/><Relationship Id="rId41" Type="http://schemas.openxmlformats.org/officeDocument/2006/relationships/oleObject" Target="embeddings/oleObject13.bin"/><Relationship Id="rId40" Type="http://schemas.openxmlformats.org/officeDocument/2006/relationships/image" Target="media/image14.wmf"/><Relationship Id="rId4" Type="http://schemas.openxmlformats.org/officeDocument/2006/relationships/endnotes" Target="endnotes.xml"/><Relationship Id="rId39" Type="http://schemas.openxmlformats.org/officeDocument/2006/relationships/oleObject" Target="embeddings/oleObject12.bin"/><Relationship Id="rId38" Type="http://schemas.openxmlformats.org/officeDocument/2006/relationships/image" Target="media/image13.wmf"/><Relationship Id="rId37" Type="http://schemas.openxmlformats.org/officeDocument/2006/relationships/oleObject" Target="embeddings/oleObject11.bin"/><Relationship Id="rId36" Type="http://schemas.openxmlformats.org/officeDocument/2006/relationships/oleObject" Target="embeddings/oleObject10.bin"/><Relationship Id="rId35" Type="http://schemas.openxmlformats.org/officeDocument/2006/relationships/image" Target="media/image12.wmf"/><Relationship Id="rId34" Type="http://schemas.openxmlformats.org/officeDocument/2006/relationships/oleObject" Target="embeddings/oleObject9.bin"/><Relationship Id="rId33" Type="http://schemas.openxmlformats.org/officeDocument/2006/relationships/image" Target="media/image11.wmf"/><Relationship Id="rId32" Type="http://schemas.openxmlformats.org/officeDocument/2006/relationships/oleObject" Target="embeddings/oleObject8.bin"/><Relationship Id="rId31" Type="http://schemas.openxmlformats.org/officeDocument/2006/relationships/image" Target="media/image10.wmf"/><Relationship Id="rId30" Type="http://schemas.openxmlformats.org/officeDocument/2006/relationships/oleObject" Target="embeddings/oleObject7.bin"/><Relationship Id="rId3" Type="http://schemas.openxmlformats.org/officeDocument/2006/relationships/footnotes" Target="footnotes.xml"/><Relationship Id="rId29" Type="http://schemas.openxmlformats.org/officeDocument/2006/relationships/image" Target="media/image9.wmf"/><Relationship Id="rId28" Type="http://schemas.openxmlformats.org/officeDocument/2006/relationships/oleObject" Target="embeddings/oleObject6.bin"/><Relationship Id="rId27" Type="http://schemas.openxmlformats.org/officeDocument/2006/relationships/image" Target="media/image8.wmf"/><Relationship Id="rId26" Type="http://schemas.openxmlformats.org/officeDocument/2006/relationships/oleObject" Target="embeddings/oleObject5.bin"/><Relationship Id="rId25" Type="http://schemas.openxmlformats.org/officeDocument/2006/relationships/image" Target="media/image7.wmf"/><Relationship Id="rId24" Type="http://schemas.openxmlformats.org/officeDocument/2006/relationships/oleObject" Target="embeddings/oleObject4.bin"/><Relationship Id="rId23" Type="http://schemas.openxmlformats.org/officeDocument/2006/relationships/image" Target="media/image6.wmf"/><Relationship Id="rId22" Type="http://schemas.openxmlformats.org/officeDocument/2006/relationships/oleObject" Target="embeddings/oleObject3.bin"/><Relationship Id="rId21" Type="http://schemas.openxmlformats.org/officeDocument/2006/relationships/image" Target="media/image5.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4.wmf"/><Relationship Id="rId18" Type="http://schemas.openxmlformats.org/officeDocument/2006/relationships/oleObject" Target="embeddings/oleObject1.bin"/><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60B3DD1B9A4E6FADEA1F14FE5D7CF7"/>
        <w:style w:val=""/>
        <w:category>
          <w:name w:val="常规"/>
          <w:gallery w:val="placeholder"/>
        </w:category>
        <w:types>
          <w:type w:val="bbPlcHdr"/>
        </w:types>
        <w:behaviors>
          <w:behavior w:val="content"/>
        </w:behaviors>
        <w:description w:val=""/>
        <w:guid w:val="{4F83092E-AC20-4BDB-83EB-F1D3EC7CF5F9}"/>
      </w:docPartPr>
      <w:docPartBody>
        <w:p w14:paraId="640BFED8">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39"/>
    <w:rsid w:val="00037466"/>
    <w:rsid w:val="000B245B"/>
    <w:rsid w:val="00275FAE"/>
    <w:rsid w:val="00552F06"/>
    <w:rsid w:val="00595CC0"/>
    <w:rsid w:val="007A0F9A"/>
    <w:rsid w:val="00892BA7"/>
    <w:rsid w:val="009754E7"/>
    <w:rsid w:val="009E0D39"/>
    <w:rsid w:val="00C1042C"/>
    <w:rsid w:val="00D216E2"/>
    <w:rsid w:val="00D372DD"/>
    <w:rsid w:val="00DD4996"/>
    <w:rsid w:val="00DE1425"/>
    <w:rsid w:val="00EC6FAF"/>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60B3DD1B9A4E6FADEA1F14FE5D7CF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40B7C7-B75F-4192-8F7D-D1A4A63EB67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8</Pages>
  <Words>2059</Words>
  <Characters>2656</Characters>
  <Lines>309</Lines>
  <Paragraphs>391</Paragraphs>
  <TotalTime>4</TotalTime>
  <ScaleCrop>false</ScaleCrop>
  <LinksUpToDate>false</LinksUpToDate>
  <CharactersWithSpaces>2760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2024-12-31T01:40:00Z</dcterms:created>
  <dc:creator>微软用户</dc:creator>
  <dc:description>&lt;config cover="true" show_menu="true" version="1.0.0" doctype="SDKXY"&gt;_x000d_
&lt;/config&gt;</dc:description>
  <cp:lastModifiedBy>张衷华</cp:lastModifiedBy>
  <cp:lastPrinted>2021-02-02T08:22:00Z</cp:lastPrinted>
  <dcterms:modified xsi:type="dcterms:W3CDTF">2026-07-29T08:30:49Z</dcterms:modified>
  <dc:title>团体标准</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C91F29F8C7354ED6B778509F979840DC_13</vt:lpwstr>
  </property>
  <property fmtid="{D5CDD505-2E9C-101B-9397-08002B2CF9AE}" pid="16" name="KSOTemplateDocerSaveRecord">
    <vt:lpwstr>eyJoZGlkIjoiMDA2MWRlMWYzYjNiNzA1NGE4MmZkZGZkMmM2NDkwMWEiLCJ1c2VySWQiOiI3NTUyMTgxMDAifQ==</vt:lpwstr>
  </property>
</Properties>
</file>