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88A511E">
      <w:pPr>
        <w:pStyle w:val="26"/>
        <w:numPr>
          <w:ilvl w:val="0"/>
          <w:numId w:val="0"/>
        </w:numPr>
        <w:ind w:leftChars="0"/>
        <w:jc w:val="center"/>
        <w:rPr>
          <w:rFonts w:hint="eastAsia"/>
        </w:rPr>
      </w:pPr>
      <w:bookmarkStart w:id="0" w:name="黑龙江省林学会团体标准栎类碳储量估算技术指南编制说明"/>
      <w:r>
        <w:rPr>
          <w:rFonts w:hint="eastAsia" w:ascii="方正小标宋简体" w:eastAsia="方正小标宋简体"/>
          <w:sz w:val="44"/>
          <w:szCs w:val="44"/>
          <w:lang w:val="en-US" w:eastAsia="zh-CN"/>
        </w:rPr>
        <w:t>黑龙江省林学会团体标准《栎类碳储量估算技术指南》编制说明</w:t>
      </w:r>
    </w:p>
    <w:p w14:paraId="37A2031D">
      <w:pPr>
        <w:pStyle w:val="26"/>
        <w:numPr>
          <w:ilvl w:val="0"/>
          <w:numId w:val="0"/>
        </w:numPr>
        <w:ind w:leftChars="0"/>
        <w:jc w:val="center"/>
        <w:rPr>
          <w:rFonts w:hint="eastAsia" w:ascii="仿宋" w:hAnsi="仿宋" w:eastAsia="仿宋" w:cs="仿宋"/>
          <w:b/>
          <w:bCs/>
          <w:sz w:val="32"/>
          <w:szCs w:val="32"/>
        </w:rPr>
      </w:pPr>
      <w:r>
        <w:rPr>
          <w:rFonts w:hint="eastAsia" w:ascii="仿宋" w:hAnsi="仿宋" w:eastAsia="仿宋" w:cs="仿宋"/>
          <w:b/>
          <w:bCs/>
          <w:sz w:val="32"/>
          <w:szCs w:val="32"/>
        </w:rPr>
        <w:t>东北林业大学</w:t>
      </w:r>
      <w:bookmarkStart w:id="1" w:name="一工作简况"/>
    </w:p>
    <w:p w14:paraId="78F797DC">
      <w:pPr>
        <w:pStyle w:val="3"/>
        <w:rPr>
          <w:rFonts w:hint="eastAsia"/>
        </w:rPr>
      </w:pPr>
    </w:p>
    <w:p w14:paraId="126AA319">
      <w:pPr>
        <w:pStyle w:val="26"/>
        <w:numPr>
          <w:ilvl w:val="0"/>
          <w:numId w:val="1"/>
        </w:numPr>
        <w:ind w:leftChars="0"/>
        <w:jc w:val="left"/>
        <w:rPr>
          <w:rFonts w:hint="eastAsia" w:ascii="黑体" w:hAnsi="黑体" w:eastAsia="黑体" w:cs="黑体"/>
          <w:sz w:val="32"/>
          <w:szCs w:val="32"/>
        </w:rPr>
      </w:pPr>
      <w:r>
        <w:rPr>
          <w:rFonts w:hint="eastAsia" w:ascii="黑体" w:hAnsi="黑体" w:eastAsia="黑体" w:cs="黑体"/>
          <w:sz w:val="32"/>
          <w:szCs w:val="32"/>
        </w:rPr>
        <w:t>工作简况</w:t>
      </w:r>
      <w:bookmarkStart w:id="2" w:name="一任务来源"/>
    </w:p>
    <w:p w14:paraId="2EE769CC">
      <w:pPr>
        <w:pStyle w:val="26"/>
        <w:numPr>
          <w:ilvl w:val="0"/>
          <w:numId w:val="0"/>
        </w:numPr>
        <w:jc w:val="left"/>
        <w:rPr>
          <w:rFonts w:hint="eastAsia" w:ascii="楷体" w:hAnsi="楷体" w:eastAsia="楷体" w:cs="楷体"/>
          <w:sz w:val="32"/>
          <w:szCs w:val="32"/>
        </w:rPr>
      </w:pPr>
      <w:r>
        <w:rPr>
          <w:rFonts w:hint="eastAsia" w:ascii="楷体" w:hAnsi="楷体" w:eastAsia="楷体" w:cs="楷体"/>
          <w:sz w:val="32"/>
          <w:szCs w:val="32"/>
        </w:rPr>
        <w:t>（一）任务来源</w:t>
      </w:r>
    </w:p>
    <w:p w14:paraId="515D9079">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left"/>
        <w:textAlignment w:val="auto"/>
        <w:rPr>
          <w:rFonts w:hint="eastAsia" w:ascii="仿宋" w:hAnsi="仿宋" w:eastAsia="仿宋" w:cs="仿宋"/>
          <w:sz w:val="32"/>
          <w:szCs w:val="32"/>
        </w:rPr>
      </w:pPr>
      <w:r>
        <w:rPr>
          <w:rFonts w:hint="eastAsia" w:ascii="仿宋" w:hAnsi="仿宋" w:eastAsia="仿宋" w:cs="仿宋"/>
          <w:sz w:val="32"/>
          <w:szCs w:val="32"/>
        </w:rPr>
        <w:t>《栎类碳储量估算技术指南》来源于根据黑龙江省林学会团体标准制修订工作的安排，结合黑龙江省栎类林碳汇计量的实际需求，制定本文件。标准由黑龙江省林学会提出并归口。</w:t>
      </w:r>
      <w:bookmarkEnd w:id="2"/>
      <w:bookmarkStart w:id="3" w:name="二标准主要起草单位协作单位主要起草人及责任分工"/>
    </w:p>
    <w:p w14:paraId="0922B60B">
      <w:pPr>
        <w:pStyle w:val="26"/>
        <w:numPr>
          <w:ilvl w:val="0"/>
          <w:numId w:val="0"/>
        </w:numPr>
        <w:ind w:leftChars="0"/>
        <w:jc w:val="left"/>
        <w:rPr>
          <w:rFonts w:hint="eastAsia" w:ascii="楷体" w:hAnsi="楷体" w:eastAsia="楷体" w:cs="楷体"/>
          <w:sz w:val="32"/>
          <w:szCs w:val="32"/>
        </w:rPr>
      </w:pPr>
      <w:r>
        <w:rPr>
          <w:rFonts w:hint="eastAsia" w:ascii="楷体" w:hAnsi="楷体" w:eastAsia="楷体" w:cs="楷体"/>
          <w:sz w:val="32"/>
          <w:szCs w:val="32"/>
        </w:rPr>
        <w:t>（二）标准主要起草单位、协作单位，主要起草人及责任分工</w:t>
      </w:r>
    </w:p>
    <w:p w14:paraId="611196FF">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jc w:val="left"/>
        <w:textAlignment w:val="auto"/>
        <w:rPr>
          <w:rFonts w:hint="eastAsia" w:ascii="仿宋" w:hAnsi="仿宋" w:eastAsia="仿宋" w:cs="仿宋"/>
          <w:sz w:val="32"/>
          <w:szCs w:val="32"/>
        </w:rPr>
      </w:pPr>
      <w:r>
        <w:rPr>
          <w:rFonts w:hint="eastAsia" w:ascii="仿宋" w:hAnsi="仿宋" w:eastAsia="仿宋" w:cs="仿宋"/>
          <w:sz w:val="32"/>
          <w:szCs w:val="32"/>
        </w:rPr>
        <w:t>起草单位： 东北林业大学</w:t>
      </w:r>
    </w:p>
    <w:p w14:paraId="49B10B2B">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jc w:val="left"/>
        <w:textAlignment w:val="auto"/>
        <w:rPr>
          <w:rFonts w:hint="eastAsia" w:ascii="仿宋" w:hAnsi="仿宋" w:eastAsia="仿宋" w:cs="仿宋"/>
          <w:sz w:val="32"/>
          <w:szCs w:val="32"/>
        </w:rPr>
      </w:pPr>
      <w:r>
        <w:rPr>
          <w:rFonts w:hint="eastAsia" w:ascii="仿宋" w:hAnsi="仿宋" w:eastAsia="仿宋" w:cs="仿宋"/>
          <w:sz w:val="32"/>
          <w:szCs w:val="32"/>
        </w:rPr>
        <w:t>协作单位：黑龙江省庆安国有林场管理局，</w:t>
      </w:r>
      <w:r>
        <w:rPr>
          <w:rFonts w:hint="eastAsia" w:ascii="仿宋" w:hAnsi="仿宋" w:eastAsia="仿宋" w:cs="仿宋"/>
          <w:sz w:val="32"/>
          <w:szCs w:val="32"/>
          <w:lang w:eastAsia="zh-CN"/>
        </w:rPr>
        <w:t>黑龙江省林业技术服务中心。</w:t>
      </w:r>
      <w:bookmarkStart w:id="16" w:name="_GoBack"/>
      <w:bookmarkEnd w:id="16"/>
    </w:p>
    <w:p w14:paraId="79DB2723">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jc w:val="left"/>
        <w:textAlignment w:val="auto"/>
        <w:rPr>
          <w:rFonts w:hint="eastAsia" w:ascii="仿宋" w:hAnsi="仿宋" w:eastAsia="仿宋" w:cs="仿宋"/>
          <w:sz w:val="32"/>
          <w:szCs w:val="32"/>
        </w:rPr>
      </w:pPr>
      <w:r>
        <w:rPr>
          <w:rFonts w:hint="eastAsia" w:ascii="仿宋" w:hAnsi="仿宋" w:eastAsia="仿宋" w:cs="仿宋"/>
          <w:sz w:val="32"/>
          <w:szCs w:val="32"/>
        </w:rPr>
        <w:t>主要起草人及责任分工：张衷华</w:t>
      </w:r>
      <w:r>
        <w:rPr>
          <w:rFonts w:hint="eastAsia" w:ascii="仿宋" w:hAnsi="仿宋" w:eastAsia="仿宋" w:cs="仿宋"/>
          <w:sz w:val="32"/>
          <w:szCs w:val="32"/>
          <w:lang w:val="en-US" w:eastAsia="zh-CN"/>
        </w:rPr>
        <w:t>,</w:t>
      </w:r>
      <w:r>
        <w:rPr>
          <w:rFonts w:hint="eastAsia" w:ascii="仿宋" w:hAnsi="仿宋" w:eastAsia="仿宋" w:cs="仿宋"/>
          <w:sz w:val="32"/>
          <w:szCs w:val="32"/>
          <w:lang w:eastAsia="zh-CN"/>
        </w:rPr>
        <w:t>陈志强</w:t>
      </w:r>
      <w:r>
        <w:rPr>
          <w:rFonts w:hint="eastAsia" w:ascii="仿宋" w:hAnsi="仿宋" w:eastAsia="仿宋" w:cs="仿宋"/>
          <w:sz w:val="32"/>
          <w:szCs w:val="32"/>
          <w:lang w:val="en-US" w:eastAsia="zh-CN"/>
        </w:rPr>
        <w:t>,</w:t>
      </w:r>
      <w:r>
        <w:rPr>
          <w:rFonts w:hint="eastAsia" w:ascii="仿宋" w:hAnsi="仿宋" w:eastAsia="仿宋" w:cs="仿宋"/>
          <w:sz w:val="32"/>
          <w:szCs w:val="32"/>
          <w:lang w:eastAsia="zh-CN"/>
        </w:rPr>
        <w:t>唐中</w:t>
      </w:r>
      <w:r>
        <w:rPr>
          <w:rFonts w:hint="eastAsia" w:ascii="仿宋" w:hAnsi="仿宋" w:eastAsia="仿宋" w:cs="仿宋"/>
          <w:sz w:val="32"/>
          <w:szCs w:val="32"/>
        </w:rPr>
        <w:t>华</w:t>
      </w:r>
      <w:r>
        <w:rPr>
          <w:rFonts w:hint="eastAsia" w:ascii="仿宋" w:hAnsi="仿宋" w:eastAsia="仿宋" w:cs="仿宋"/>
          <w:sz w:val="32"/>
          <w:szCs w:val="32"/>
          <w:lang w:val="en-US" w:eastAsia="zh-CN"/>
        </w:rPr>
        <w:t>,</w:t>
      </w:r>
      <w:r>
        <w:rPr>
          <w:rFonts w:hint="eastAsia" w:ascii="仿宋" w:hAnsi="仿宋" w:eastAsia="仿宋" w:cs="仿宋"/>
          <w:sz w:val="32"/>
          <w:szCs w:val="32"/>
        </w:rPr>
        <w:t>张志刚</w:t>
      </w:r>
      <w:r>
        <w:rPr>
          <w:rFonts w:hint="eastAsia" w:ascii="仿宋" w:hAnsi="仿宋" w:eastAsia="仿宋" w:cs="仿宋"/>
          <w:sz w:val="32"/>
          <w:szCs w:val="32"/>
          <w:lang w:val="en-US" w:eastAsia="zh-CN"/>
        </w:rPr>
        <w:t>,宋佳庚,</w:t>
      </w:r>
      <w:r>
        <w:rPr>
          <w:rFonts w:hint="eastAsia" w:ascii="仿宋" w:hAnsi="仿宋" w:eastAsia="仿宋" w:cs="仿宋"/>
          <w:sz w:val="32"/>
          <w:szCs w:val="32"/>
        </w:rPr>
        <w:t>崔颖</w:t>
      </w:r>
      <w:r>
        <w:rPr>
          <w:rFonts w:hint="eastAsia" w:ascii="仿宋" w:hAnsi="仿宋" w:eastAsia="仿宋" w:cs="仿宋"/>
          <w:sz w:val="32"/>
          <w:szCs w:val="32"/>
          <w:lang w:val="en-US" w:eastAsia="zh-CN"/>
        </w:rPr>
        <w:t>,</w:t>
      </w:r>
      <w:r>
        <w:rPr>
          <w:rFonts w:hint="eastAsia" w:ascii="仿宋" w:hAnsi="仿宋" w:eastAsia="仿宋" w:cs="仿宋"/>
          <w:sz w:val="32"/>
          <w:szCs w:val="32"/>
        </w:rPr>
        <w:t>姜思琦</w:t>
      </w:r>
      <w:r>
        <w:rPr>
          <w:rFonts w:hint="eastAsia" w:ascii="仿宋" w:hAnsi="仿宋" w:eastAsia="仿宋" w:cs="仿宋"/>
          <w:sz w:val="32"/>
          <w:szCs w:val="32"/>
          <w:lang w:val="en-US" w:eastAsia="zh-CN"/>
        </w:rPr>
        <w:t>,</w:t>
      </w:r>
      <w:r>
        <w:rPr>
          <w:rFonts w:hint="eastAsia" w:ascii="仿宋" w:hAnsi="仿宋" w:eastAsia="仿宋" w:cs="仿宋"/>
          <w:sz w:val="32"/>
          <w:szCs w:val="32"/>
        </w:rPr>
        <w:t>刘彦军</w:t>
      </w:r>
      <w:r>
        <w:rPr>
          <w:rFonts w:hint="eastAsia" w:ascii="仿宋" w:hAnsi="仿宋" w:eastAsia="仿宋" w:cs="仿宋"/>
          <w:sz w:val="32"/>
          <w:szCs w:val="32"/>
          <w:lang w:val="en-US" w:eastAsia="zh-CN"/>
        </w:rPr>
        <w:t>,</w:t>
      </w:r>
      <w:r>
        <w:rPr>
          <w:rFonts w:hint="eastAsia" w:ascii="仿宋" w:hAnsi="仿宋" w:eastAsia="仿宋" w:cs="仿宋"/>
          <w:sz w:val="32"/>
          <w:szCs w:val="32"/>
        </w:rPr>
        <w:t>宗月月。</w:t>
      </w:r>
    </w:p>
    <w:tbl>
      <w:tblPr>
        <w:tblStyle w:val="4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278"/>
        <w:gridCol w:w="2595"/>
        <w:gridCol w:w="4983"/>
      </w:tblGrid>
      <w:tr w14:paraId="296951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blHeader/>
        </w:trPr>
        <w:tc>
          <w:tcPr>
            <w:tcW w:w="1278" w:type="dxa"/>
          </w:tcPr>
          <w:p w14:paraId="7BB966F0">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jc w:val="left"/>
              <w:textAlignment w:val="auto"/>
              <w:rPr>
                <w:rFonts w:hint="eastAsia" w:ascii="宋体" w:hAnsi="宋体" w:eastAsia="宋体" w:cs="宋体"/>
                <w:sz w:val="24"/>
                <w:szCs w:val="24"/>
              </w:rPr>
            </w:pPr>
            <w:r>
              <w:rPr>
                <w:rFonts w:hint="eastAsia" w:ascii="宋体" w:hAnsi="宋体" w:eastAsia="宋体" w:cs="宋体"/>
                <w:sz w:val="24"/>
                <w:szCs w:val="24"/>
              </w:rPr>
              <w:t>姓名</w:t>
            </w:r>
          </w:p>
        </w:tc>
        <w:tc>
          <w:tcPr>
            <w:tcW w:w="2595" w:type="dxa"/>
          </w:tcPr>
          <w:p w14:paraId="76486491">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jc w:val="left"/>
              <w:textAlignment w:val="auto"/>
              <w:rPr>
                <w:rFonts w:hint="eastAsia" w:ascii="宋体" w:hAnsi="宋体" w:eastAsia="宋体" w:cs="宋体"/>
                <w:sz w:val="24"/>
                <w:szCs w:val="24"/>
              </w:rPr>
            </w:pPr>
            <w:r>
              <w:rPr>
                <w:rFonts w:hint="eastAsia" w:ascii="宋体" w:hAnsi="宋体" w:eastAsia="宋体" w:cs="宋体"/>
                <w:sz w:val="24"/>
                <w:szCs w:val="24"/>
              </w:rPr>
              <w:t>单位</w:t>
            </w:r>
          </w:p>
        </w:tc>
        <w:tc>
          <w:tcPr>
            <w:tcW w:w="4983" w:type="dxa"/>
          </w:tcPr>
          <w:p w14:paraId="063A11BF">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jc w:val="left"/>
              <w:textAlignment w:val="auto"/>
              <w:rPr>
                <w:rFonts w:hint="eastAsia" w:ascii="宋体" w:hAnsi="宋体" w:eastAsia="宋体" w:cs="宋体"/>
                <w:sz w:val="24"/>
                <w:szCs w:val="24"/>
              </w:rPr>
            </w:pPr>
            <w:r>
              <w:rPr>
                <w:rFonts w:hint="eastAsia" w:ascii="宋体" w:hAnsi="宋体" w:eastAsia="宋体" w:cs="宋体"/>
                <w:sz w:val="24"/>
                <w:szCs w:val="24"/>
              </w:rPr>
              <w:t>责任分工</w:t>
            </w:r>
          </w:p>
        </w:tc>
      </w:tr>
      <w:tr w14:paraId="6BE359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278" w:type="dxa"/>
          </w:tcPr>
          <w:p w14:paraId="5D4A8A73">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jc w:val="left"/>
              <w:textAlignment w:val="auto"/>
              <w:rPr>
                <w:rFonts w:hint="eastAsia" w:ascii="宋体" w:hAnsi="宋体" w:eastAsia="宋体" w:cs="宋体"/>
                <w:sz w:val="24"/>
                <w:szCs w:val="24"/>
              </w:rPr>
            </w:pPr>
            <w:r>
              <w:rPr>
                <w:rFonts w:hint="eastAsia" w:ascii="宋体" w:hAnsi="宋体" w:eastAsia="宋体" w:cs="宋体"/>
                <w:sz w:val="24"/>
                <w:szCs w:val="24"/>
              </w:rPr>
              <w:t>张衷华</w:t>
            </w:r>
          </w:p>
        </w:tc>
        <w:tc>
          <w:tcPr>
            <w:tcW w:w="2595" w:type="dxa"/>
          </w:tcPr>
          <w:p w14:paraId="3176FEFD">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jc w:val="left"/>
              <w:textAlignment w:val="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东北林业大学</w:t>
            </w:r>
          </w:p>
        </w:tc>
        <w:tc>
          <w:tcPr>
            <w:tcW w:w="4983" w:type="dxa"/>
          </w:tcPr>
          <w:p w14:paraId="438306E0">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jc w:val="left"/>
              <w:textAlignment w:val="auto"/>
              <w:rPr>
                <w:rFonts w:hint="eastAsia" w:ascii="宋体" w:hAnsi="宋体" w:eastAsia="宋体" w:cs="宋体"/>
                <w:sz w:val="24"/>
                <w:szCs w:val="24"/>
              </w:rPr>
            </w:pPr>
            <w:r>
              <w:rPr>
                <w:rFonts w:ascii="宋体" w:hAnsi="宋体" w:eastAsia="宋体" w:cs="宋体"/>
                <w:sz w:val="24"/>
                <w:szCs w:val="24"/>
              </w:rPr>
              <w:t>标准总体框架设计、技术路线审定，统筹标准编制全过程，负责关键技术条款论证与审核</w:t>
            </w:r>
          </w:p>
        </w:tc>
      </w:tr>
      <w:tr w14:paraId="774DC7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278" w:type="dxa"/>
          </w:tcPr>
          <w:p w14:paraId="5F6BC3DA">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jc w:val="left"/>
              <w:textAlignment w:val="auto"/>
              <w:rPr>
                <w:rFonts w:hint="eastAsia" w:ascii="宋体" w:hAnsi="宋体" w:eastAsia="宋体" w:cs="宋体"/>
                <w:sz w:val="24"/>
                <w:szCs w:val="24"/>
              </w:rPr>
            </w:pPr>
            <w:r>
              <w:rPr>
                <w:rFonts w:hint="eastAsia" w:ascii="宋体" w:hAnsi="宋体" w:eastAsia="宋体" w:cs="宋体"/>
                <w:sz w:val="24"/>
                <w:szCs w:val="24"/>
                <w:lang w:eastAsia="zh-CN"/>
              </w:rPr>
              <w:t>陈志强</w:t>
            </w:r>
          </w:p>
        </w:tc>
        <w:tc>
          <w:tcPr>
            <w:tcW w:w="2595" w:type="dxa"/>
          </w:tcPr>
          <w:p w14:paraId="29BA3355">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黑龙江省庆安国有林场管理局</w:t>
            </w:r>
          </w:p>
        </w:tc>
        <w:tc>
          <w:tcPr>
            <w:tcW w:w="4983" w:type="dxa"/>
          </w:tcPr>
          <w:p w14:paraId="795DA65A">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jc w:val="left"/>
              <w:textAlignment w:val="auto"/>
              <w:rPr>
                <w:rFonts w:hint="eastAsia" w:ascii="宋体" w:hAnsi="宋体" w:eastAsia="宋体" w:cs="宋体"/>
                <w:sz w:val="24"/>
                <w:szCs w:val="24"/>
              </w:rPr>
            </w:pPr>
            <w:r>
              <w:rPr>
                <w:rFonts w:ascii="宋体" w:hAnsi="宋体" w:eastAsia="宋体" w:cs="宋体"/>
                <w:sz w:val="24"/>
                <w:szCs w:val="24"/>
              </w:rPr>
              <w:t>提供蒙古栎林野外调查样地资源、林区生产实践需求，开展标准条款实地适用性验证，组织基层技术研讨</w:t>
            </w:r>
          </w:p>
        </w:tc>
      </w:tr>
      <w:tr w14:paraId="452D82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278" w:type="dxa"/>
          </w:tcPr>
          <w:p w14:paraId="1375E181">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jc w:val="left"/>
              <w:textAlignment w:val="auto"/>
              <w:rPr>
                <w:rFonts w:hint="eastAsia" w:ascii="宋体" w:hAnsi="宋体" w:eastAsia="宋体" w:cs="宋体"/>
                <w:sz w:val="24"/>
                <w:szCs w:val="24"/>
              </w:rPr>
            </w:pPr>
            <w:r>
              <w:rPr>
                <w:rFonts w:hint="eastAsia" w:ascii="宋体" w:hAnsi="宋体" w:eastAsia="宋体" w:cs="宋体"/>
                <w:sz w:val="24"/>
                <w:szCs w:val="24"/>
                <w:lang w:eastAsia="zh-CN"/>
              </w:rPr>
              <w:t>唐中</w:t>
            </w:r>
            <w:r>
              <w:rPr>
                <w:rFonts w:hint="eastAsia" w:ascii="宋体" w:hAnsi="宋体" w:eastAsia="宋体" w:cs="宋体"/>
                <w:sz w:val="24"/>
                <w:szCs w:val="24"/>
              </w:rPr>
              <w:t>华</w:t>
            </w:r>
          </w:p>
        </w:tc>
        <w:tc>
          <w:tcPr>
            <w:tcW w:w="2595" w:type="dxa"/>
          </w:tcPr>
          <w:p w14:paraId="46EB71AB">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东北林业大学</w:t>
            </w:r>
          </w:p>
        </w:tc>
        <w:tc>
          <w:tcPr>
            <w:tcW w:w="4983" w:type="dxa"/>
          </w:tcPr>
          <w:p w14:paraId="47E7B43F">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jc w:val="left"/>
              <w:textAlignment w:val="auto"/>
              <w:rPr>
                <w:rFonts w:hint="eastAsia" w:ascii="宋体" w:hAnsi="宋体" w:eastAsia="宋体" w:cs="宋体"/>
                <w:sz w:val="24"/>
                <w:szCs w:val="24"/>
              </w:rPr>
            </w:pPr>
            <w:r>
              <w:rPr>
                <w:rFonts w:ascii="宋体" w:hAnsi="宋体" w:eastAsia="宋体" w:cs="宋体"/>
                <w:sz w:val="24"/>
                <w:szCs w:val="24"/>
              </w:rPr>
              <w:t>碳储量估算方法、生物量模型与参数体系技术审核，负责标准科学性、学术内容把关</w:t>
            </w:r>
          </w:p>
        </w:tc>
      </w:tr>
      <w:tr w14:paraId="4BC1B5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278" w:type="dxa"/>
          </w:tcPr>
          <w:p w14:paraId="601114E6">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jc w:val="left"/>
              <w:textAlignment w:val="auto"/>
              <w:rPr>
                <w:rFonts w:hint="eastAsia" w:ascii="宋体" w:hAnsi="宋体" w:eastAsia="宋体" w:cs="宋体"/>
                <w:sz w:val="24"/>
                <w:szCs w:val="24"/>
              </w:rPr>
            </w:pPr>
            <w:r>
              <w:rPr>
                <w:rFonts w:hint="eastAsia" w:ascii="宋体" w:hAnsi="宋体" w:eastAsia="宋体" w:cs="宋体"/>
                <w:sz w:val="24"/>
                <w:szCs w:val="24"/>
              </w:rPr>
              <w:t>张志刚</w:t>
            </w:r>
          </w:p>
        </w:tc>
        <w:tc>
          <w:tcPr>
            <w:tcW w:w="2595" w:type="dxa"/>
          </w:tcPr>
          <w:p w14:paraId="4CAEAE16">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黑龙江省庆安国有林场管理局</w:t>
            </w:r>
          </w:p>
        </w:tc>
        <w:tc>
          <w:tcPr>
            <w:tcW w:w="4983" w:type="dxa"/>
          </w:tcPr>
          <w:p w14:paraId="410BD72E">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jc w:val="left"/>
              <w:textAlignment w:val="auto"/>
              <w:rPr>
                <w:rFonts w:hint="eastAsia" w:ascii="宋体" w:hAnsi="宋体" w:eastAsia="宋体" w:cs="宋体"/>
                <w:sz w:val="24"/>
                <w:szCs w:val="24"/>
              </w:rPr>
            </w:pPr>
            <w:r>
              <w:rPr>
                <w:rFonts w:ascii="宋体" w:hAnsi="宋体" w:eastAsia="宋体" w:cs="宋体"/>
                <w:sz w:val="24"/>
                <w:szCs w:val="24"/>
              </w:rPr>
              <w:t>结合林场森林经营、资源调查业务，梳理实操痛点，参与外业调查技术条款修订，标准应用场景论证</w:t>
            </w:r>
          </w:p>
        </w:tc>
      </w:tr>
      <w:tr w14:paraId="03DADD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278" w:type="dxa"/>
          </w:tcPr>
          <w:p w14:paraId="0DDF1627">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jc w:val="left"/>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宋佳庚</w:t>
            </w:r>
          </w:p>
        </w:tc>
        <w:tc>
          <w:tcPr>
            <w:tcW w:w="2595" w:type="dxa"/>
          </w:tcPr>
          <w:p w14:paraId="6779119D">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黑龙江省林业技术服务中心</w:t>
            </w:r>
          </w:p>
        </w:tc>
        <w:tc>
          <w:tcPr>
            <w:tcW w:w="4983" w:type="dxa"/>
          </w:tcPr>
          <w:p w14:paraId="6CE792F9">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jc w:val="left"/>
              <w:textAlignment w:val="auto"/>
              <w:rPr>
                <w:rFonts w:hint="eastAsia" w:ascii="宋体" w:hAnsi="宋体" w:eastAsia="宋体" w:cs="宋体"/>
                <w:sz w:val="24"/>
                <w:szCs w:val="24"/>
              </w:rPr>
            </w:pPr>
            <w:r>
              <w:rPr>
                <w:rFonts w:ascii="宋体" w:hAnsi="宋体" w:eastAsia="宋体" w:cs="宋体"/>
                <w:sz w:val="24"/>
                <w:szCs w:val="24"/>
              </w:rPr>
              <w:t>对接全省森林资源调查业务体系，协调标准技术衔接，负责行业应用可行性评审</w:t>
            </w:r>
          </w:p>
        </w:tc>
      </w:tr>
      <w:tr w14:paraId="4504A3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278" w:type="dxa"/>
          </w:tcPr>
          <w:p w14:paraId="30F5EDC1">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jc w:val="left"/>
              <w:textAlignment w:val="auto"/>
              <w:rPr>
                <w:rFonts w:hint="eastAsia" w:ascii="宋体" w:hAnsi="宋体" w:eastAsia="宋体" w:cs="宋体"/>
                <w:sz w:val="24"/>
                <w:szCs w:val="24"/>
                <w:lang w:val="en-US" w:eastAsia="zh-CN"/>
              </w:rPr>
            </w:pPr>
            <w:bookmarkStart w:id="4" w:name="三工作简况"/>
            <w:r>
              <w:rPr>
                <w:rFonts w:hint="eastAsia" w:ascii="宋体" w:hAnsi="宋体" w:eastAsia="宋体" w:cs="宋体"/>
                <w:sz w:val="24"/>
                <w:szCs w:val="24"/>
              </w:rPr>
              <w:t>崔颖</w:t>
            </w:r>
          </w:p>
        </w:tc>
        <w:tc>
          <w:tcPr>
            <w:tcW w:w="2595" w:type="dxa"/>
          </w:tcPr>
          <w:p w14:paraId="483A920A">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jc w:val="left"/>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东北林业大学</w:t>
            </w:r>
          </w:p>
        </w:tc>
        <w:tc>
          <w:tcPr>
            <w:tcW w:w="4983" w:type="dxa"/>
          </w:tcPr>
          <w:p w14:paraId="5366D01E">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jc w:val="left"/>
              <w:textAlignment w:val="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样地调查，数据测定</w:t>
            </w:r>
          </w:p>
        </w:tc>
      </w:tr>
      <w:tr w14:paraId="3AD45D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278" w:type="dxa"/>
          </w:tcPr>
          <w:p w14:paraId="3A276F5F">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jc w:val="left"/>
              <w:textAlignment w:val="auto"/>
              <w:rPr>
                <w:rFonts w:hint="eastAsia" w:ascii="宋体" w:hAnsi="宋体" w:eastAsia="宋体" w:cs="宋体"/>
                <w:sz w:val="24"/>
                <w:szCs w:val="24"/>
              </w:rPr>
            </w:pPr>
            <w:r>
              <w:rPr>
                <w:rFonts w:hint="eastAsia" w:ascii="宋体" w:hAnsi="宋体" w:eastAsia="宋体" w:cs="宋体"/>
                <w:sz w:val="24"/>
                <w:szCs w:val="24"/>
              </w:rPr>
              <w:t>姜思琦</w:t>
            </w:r>
          </w:p>
        </w:tc>
        <w:tc>
          <w:tcPr>
            <w:tcW w:w="2595" w:type="dxa"/>
          </w:tcPr>
          <w:p w14:paraId="572DEE5B">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jc w:val="left"/>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东北林业大学</w:t>
            </w:r>
          </w:p>
        </w:tc>
        <w:tc>
          <w:tcPr>
            <w:tcW w:w="4983" w:type="dxa"/>
          </w:tcPr>
          <w:p w14:paraId="4EDBECF8">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jc w:val="left"/>
              <w:textAlignment w:val="auto"/>
              <w:rPr>
                <w:rFonts w:hint="eastAsia" w:ascii="宋体" w:hAnsi="宋体" w:eastAsia="宋体" w:cs="宋体"/>
                <w:sz w:val="24"/>
                <w:szCs w:val="24"/>
                <w:lang w:eastAsia="zh-CN"/>
              </w:rPr>
            </w:pPr>
            <w:r>
              <w:rPr>
                <w:rFonts w:hint="eastAsia" w:ascii="宋体" w:hAnsi="宋体" w:eastAsia="宋体" w:cs="宋体"/>
                <w:sz w:val="24"/>
                <w:szCs w:val="24"/>
              </w:rPr>
              <w:t>标准初稿</w:t>
            </w:r>
            <w:r>
              <w:rPr>
                <w:rFonts w:hint="eastAsia" w:ascii="宋体" w:hAnsi="宋体" w:eastAsia="宋体" w:cs="宋体"/>
                <w:sz w:val="24"/>
                <w:szCs w:val="24"/>
                <w:lang w:val="en-US" w:eastAsia="zh-CN"/>
              </w:rPr>
              <w:t>写作</w:t>
            </w:r>
          </w:p>
        </w:tc>
      </w:tr>
      <w:tr w14:paraId="632CD5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278" w:type="dxa"/>
          </w:tcPr>
          <w:p w14:paraId="51FC9FF9">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jc w:val="left"/>
              <w:textAlignment w:val="auto"/>
              <w:rPr>
                <w:rFonts w:hint="eastAsia" w:ascii="宋体" w:hAnsi="宋体" w:eastAsia="宋体" w:cs="宋体"/>
                <w:sz w:val="24"/>
                <w:szCs w:val="24"/>
              </w:rPr>
            </w:pPr>
            <w:r>
              <w:rPr>
                <w:rFonts w:hint="eastAsia" w:ascii="宋体" w:hAnsi="宋体" w:eastAsia="宋体" w:cs="宋体"/>
                <w:sz w:val="24"/>
                <w:szCs w:val="24"/>
              </w:rPr>
              <w:t>刘彦军</w:t>
            </w:r>
          </w:p>
        </w:tc>
        <w:tc>
          <w:tcPr>
            <w:tcW w:w="2595" w:type="dxa"/>
          </w:tcPr>
          <w:p w14:paraId="25DA0BD4">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jc w:val="left"/>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东北林业大学</w:t>
            </w:r>
          </w:p>
        </w:tc>
        <w:tc>
          <w:tcPr>
            <w:tcW w:w="4983" w:type="dxa"/>
          </w:tcPr>
          <w:p w14:paraId="4B554A2C">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jc w:val="left"/>
              <w:textAlignment w:val="auto"/>
              <w:rPr>
                <w:rFonts w:hint="eastAsia" w:ascii="宋体" w:hAnsi="宋体" w:eastAsia="宋体" w:cs="宋体"/>
                <w:sz w:val="24"/>
                <w:szCs w:val="24"/>
              </w:rPr>
            </w:pPr>
            <w:r>
              <w:rPr>
                <w:rFonts w:hint="eastAsia" w:ascii="宋体" w:hAnsi="宋体" w:eastAsia="宋体" w:cs="宋体"/>
                <w:sz w:val="24"/>
                <w:szCs w:val="24"/>
              </w:rPr>
              <w:t>汇总、整理标准编制所需栎类数据</w:t>
            </w:r>
          </w:p>
        </w:tc>
      </w:tr>
      <w:tr w14:paraId="5EDF88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278" w:type="dxa"/>
          </w:tcPr>
          <w:p w14:paraId="7DCDE0B6">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jc w:val="left"/>
              <w:textAlignment w:val="auto"/>
              <w:rPr>
                <w:rFonts w:hint="eastAsia" w:ascii="宋体" w:hAnsi="宋体" w:eastAsia="宋体" w:cs="宋体"/>
                <w:sz w:val="24"/>
                <w:szCs w:val="24"/>
              </w:rPr>
            </w:pPr>
            <w:r>
              <w:rPr>
                <w:rFonts w:hint="eastAsia" w:ascii="宋体" w:hAnsi="宋体" w:eastAsia="宋体" w:cs="宋体"/>
                <w:sz w:val="24"/>
                <w:szCs w:val="24"/>
              </w:rPr>
              <w:t>宗月月</w:t>
            </w:r>
          </w:p>
        </w:tc>
        <w:tc>
          <w:tcPr>
            <w:tcW w:w="2595" w:type="dxa"/>
          </w:tcPr>
          <w:p w14:paraId="795AF453">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jc w:val="left"/>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东北林业大学</w:t>
            </w:r>
          </w:p>
        </w:tc>
        <w:tc>
          <w:tcPr>
            <w:tcW w:w="4983" w:type="dxa"/>
          </w:tcPr>
          <w:p w14:paraId="7FB2FA18">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jc w:val="left"/>
              <w:textAlignment w:val="auto"/>
              <w:rPr>
                <w:rFonts w:hint="eastAsia" w:ascii="宋体" w:hAnsi="宋体" w:eastAsia="宋体" w:cs="宋体"/>
                <w:sz w:val="24"/>
                <w:szCs w:val="24"/>
              </w:rPr>
            </w:pPr>
            <w:r>
              <w:rPr>
                <w:rFonts w:hint="eastAsia" w:ascii="宋体" w:hAnsi="宋体" w:eastAsia="宋体" w:cs="宋体"/>
                <w:sz w:val="24"/>
                <w:szCs w:val="24"/>
              </w:rPr>
              <w:t>相关文献查阅</w:t>
            </w:r>
          </w:p>
        </w:tc>
      </w:tr>
      <w:bookmarkEnd w:id="3"/>
    </w:tbl>
    <w:p w14:paraId="7338F66E">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left"/>
        <w:textAlignment w:val="auto"/>
        <w:rPr>
          <w:rFonts w:hint="eastAsia" w:ascii="仿宋" w:hAnsi="仿宋" w:eastAsia="仿宋" w:cs="仿宋"/>
          <w:sz w:val="32"/>
          <w:szCs w:val="32"/>
        </w:rPr>
      </w:pPr>
      <w:r>
        <w:rPr>
          <w:rFonts w:hint="eastAsia" w:ascii="仿宋" w:hAnsi="仿宋" w:eastAsia="仿宋" w:cs="仿宋"/>
          <w:sz w:val="32"/>
          <w:szCs w:val="32"/>
        </w:rPr>
        <w:t>按照黑龙江省林学会团体标准制订要求，成立了《栎类碳储量估算技术指南》工作组。工作组成员认真学习了GB/T 1.1—2020《标准化工作导则 第1部分：标准化文件的结构和起草规则》及有关标准编写规范。</w:t>
      </w:r>
    </w:p>
    <w:p w14:paraId="78D918ED">
      <w:pPr>
        <w:pStyle w:val="3"/>
        <w:rPr>
          <w:rFonts w:hint="eastAsia" w:ascii="楷体" w:hAnsi="楷体" w:eastAsia="楷体" w:cs="楷体"/>
          <w:sz w:val="32"/>
          <w:szCs w:val="32"/>
        </w:rPr>
      </w:pPr>
      <w:r>
        <w:rPr>
          <w:rFonts w:hint="eastAsia" w:ascii="楷体" w:hAnsi="楷体" w:eastAsia="楷体" w:cs="楷体"/>
          <w:sz w:val="32"/>
          <w:szCs w:val="32"/>
        </w:rPr>
        <w:t>（三）工作简况</w:t>
      </w:r>
    </w:p>
    <w:p w14:paraId="1B2352FA">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left"/>
        <w:textAlignment w:val="auto"/>
        <w:rPr>
          <w:rFonts w:hint="eastAsia" w:ascii="仿宋" w:hAnsi="仿宋" w:eastAsia="仿宋" w:cs="仿宋"/>
          <w:sz w:val="32"/>
          <w:szCs w:val="32"/>
        </w:rPr>
      </w:pPr>
      <w:r>
        <w:rPr>
          <w:rFonts w:hint="eastAsia" w:ascii="仿宋" w:hAnsi="仿宋" w:eastAsia="仿宋" w:cs="仿宋"/>
          <w:sz w:val="32"/>
          <w:szCs w:val="32"/>
        </w:rPr>
        <w:t>针对黑龙江省栎类林碳汇计量的实际需要，基于已获得的东北地区栎类（以蒙古栎为主）的立木生物量、各器官含碳系数等科研数据，通过对数据的总结归纳与模型构建进行推广示范，最后形成栎类碳储量估算技术指南，按照标准编制原则制定本标准。</w:t>
      </w:r>
    </w:p>
    <w:p w14:paraId="05B4E723">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left"/>
        <w:textAlignment w:val="auto"/>
        <w:rPr>
          <w:rFonts w:hint="eastAsia" w:ascii="仿宋" w:hAnsi="仿宋" w:eastAsia="仿宋" w:cs="仿宋"/>
          <w:sz w:val="32"/>
          <w:szCs w:val="32"/>
        </w:rPr>
      </w:pPr>
      <w:r>
        <w:rPr>
          <w:rFonts w:hint="eastAsia" w:ascii="仿宋" w:hAnsi="仿宋" w:eastAsia="仿宋" w:cs="仿宋"/>
          <w:sz w:val="32"/>
          <w:szCs w:val="32"/>
        </w:rPr>
        <w:t>202</w:t>
      </w:r>
      <w:r>
        <w:rPr>
          <w:rFonts w:hint="eastAsia" w:ascii="仿宋" w:hAnsi="仿宋" w:eastAsia="仿宋" w:cs="仿宋"/>
          <w:sz w:val="32"/>
          <w:szCs w:val="32"/>
          <w:lang w:val="en-US" w:eastAsia="zh-CN"/>
        </w:rPr>
        <w:t>5</w:t>
      </w:r>
      <w:r>
        <w:rPr>
          <w:rFonts w:hint="eastAsia" w:ascii="仿宋" w:hAnsi="仿宋" w:eastAsia="仿宋" w:cs="仿宋"/>
          <w:sz w:val="32"/>
          <w:szCs w:val="32"/>
        </w:rPr>
        <w:t>年</w:t>
      </w:r>
      <w:r>
        <w:rPr>
          <w:rFonts w:hint="eastAsia" w:ascii="仿宋" w:hAnsi="仿宋" w:eastAsia="仿宋" w:cs="仿宋"/>
          <w:sz w:val="32"/>
          <w:szCs w:val="32"/>
          <w:lang w:val="en-US" w:eastAsia="zh-CN"/>
        </w:rPr>
        <w:t>1</w:t>
      </w:r>
      <w:r>
        <w:rPr>
          <w:rFonts w:hint="eastAsia" w:ascii="仿宋" w:hAnsi="仿宋" w:eastAsia="仿宋" w:cs="仿宋"/>
          <w:sz w:val="32"/>
          <w:szCs w:val="32"/>
        </w:rPr>
        <w:t>—</w:t>
      </w:r>
      <w:r>
        <w:rPr>
          <w:rFonts w:hint="eastAsia" w:ascii="仿宋" w:hAnsi="仿宋" w:eastAsia="仿宋" w:cs="仿宋"/>
          <w:sz w:val="32"/>
          <w:szCs w:val="32"/>
          <w:lang w:val="en-US" w:eastAsia="zh-CN"/>
        </w:rPr>
        <w:t>6</w:t>
      </w:r>
      <w:r>
        <w:rPr>
          <w:rFonts w:hint="eastAsia" w:ascii="仿宋" w:hAnsi="仿宋" w:eastAsia="仿宋" w:cs="仿宋"/>
          <w:sz w:val="32"/>
          <w:szCs w:val="32"/>
        </w:rPr>
        <w:t>月，标准起草小组通过网上搜集国内外有关资料，对相关标准进行收集、学习与分析，结合已有实测数据开展模型拟合工作</w:t>
      </w:r>
      <w:r>
        <w:rPr>
          <w:rFonts w:hint="eastAsia" w:ascii="仿宋" w:hAnsi="仿宋" w:eastAsia="仿宋" w:cs="仿宋"/>
          <w:sz w:val="32"/>
          <w:szCs w:val="32"/>
          <w:lang w:eastAsia="zh-CN"/>
        </w:rPr>
        <w:t>；</w:t>
      </w:r>
      <w:r>
        <w:rPr>
          <w:rFonts w:hint="eastAsia" w:ascii="仿宋" w:hAnsi="仿宋" w:eastAsia="仿宋" w:cs="仿宋"/>
          <w:sz w:val="32"/>
          <w:szCs w:val="32"/>
        </w:rPr>
        <w:t>202</w:t>
      </w:r>
      <w:r>
        <w:rPr>
          <w:rFonts w:hint="eastAsia" w:ascii="仿宋" w:hAnsi="仿宋" w:eastAsia="仿宋" w:cs="仿宋"/>
          <w:sz w:val="32"/>
          <w:szCs w:val="32"/>
          <w:lang w:val="en-US" w:eastAsia="zh-CN"/>
        </w:rPr>
        <w:t>5</w:t>
      </w:r>
      <w:r>
        <w:rPr>
          <w:rFonts w:hint="eastAsia" w:ascii="仿宋" w:hAnsi="仿宋" w:eastAsia="仿宋" w:cs="仿宋"/>
          <w:sz w:val="32"/>
          <w:szCs w:val="32"/>
        </w:rPr>
        <w:t>年</w:t>
      </w:r>
      <w:r>
        <w:rPr>
          <w:rFonts w:hint="eastAsia" w:ascii="仿宋" w:hAnsi="仿宋" w:eastAsia="仿宋" w:cs="仿宋"/>
          <w:sz w:val="32"/>
          <w:szCs w:val="32"/>
          <w:lang w:val="en-US" w:eastAsia="zh-CN"/>
        </w:rPr>
        <w:t>7</w:t>
      </w:r>
      <w:r>
        <w:rPr>
          <w:rFonts w:hint="eastAsia" w:ascii="仿宋" w:hAnsi="仿宋" w:eastAsia="仿宋" w:cs="仿宋"/>
          <w:sz w:val="32"/>
          <w:szCs w:val="32"/>
        </w:rPr>
        <w:t>—</w:t>
      </w:r>
      <w:r>
        <w:rPr>
          <w:rFonts w:hint="eastAsia" w:ascii="仿宋" w:hAnsi="仿宋" w:eastAsia="仿宋" w:cs="仿宋"/>
          <w:sz w:val="32"/>
          <w:szCs w:val="32"/>
          <w:lang w:val="en-US" w:eastAsia="zh-CN"/>
        </w:rPr>
        <w:t>12</w:t>
      </w:r>
      <w:r>
        <w:rPr>
          <w:rFonts w:hint="eastAsia" w:ascii="仿宋" w:hAnsi="仿宋" w:eastAsia="仿宋" w:cs="仿宋"/>
          <w:sz w:val="32"/>
          <w:szCs w:val="32"/>
        </w:rPr>
        <w:t>月，</w:t>
      </w:r>
      <w:r>
        <w:rPr>
          <w:rFonts w:hint="eastAsia" w:ascii="仿宋" w:hAnsi="仿宋" w:eastAsia="仿宋" w:cs="仿宋"/>
          <w:sz w:val="32"/>
          <w:szCs w:val="32"/>
          <w:lang w:val="en-US" w:eastAsia="zh-CN"/>
        </w:rPr>
        <w:t>样地调查、样品采集、测试；</w:t>
      </w:r>
      <w:r>
        <w:rPr>
          <w:rFonts w:hint="eastAsia" w:ascii="仿宋" w:hAnsi="仿宋" w:eastAsia="仿宋" w:cs="仿宋"/>
          <w:sz w:val="32"/>
          <w:szCs w:val="32"/>
        </w:rPr>
        <w:t>202</w:t>
      </w:r>
      <w:r>
        <w:rPr>
          <w:rFonts w:hint="eastAsia" w:ascii="仿宋" w:hAnsi="仿宋" w:eastAsia="仿宋" w:cs="仿宋"/>
          <w:sz w:val="32"/>
          <w:szCs w:val="32"/>
          <w:lang w:val="en-US" w:eastAsia="zh-CN"/>
        </w:rPr>
        <w:t>6</w:t>
      </w:r>
      <w:r>
        <w:rPr>
          <w:rFonts w:hint="eastAsia" w:ascii="仿宋" w:hAnsi="仿宋" w:eastAsia="仿宋" w:cs="仿宋"/>
          <w:sz w:val="32"/>
          <w:szCs w:val="32"/>
        </w:rPr>
        <w:t>年1—</w:t>
      </w:r>
      <w:r>
        <w:rPr>
          <w:rFonts w:hint="eastAsia" w:ascii="仿宋" w:hAnsi="仿宋" w:eastAsia="仿宋" w:cs="仿宋"/>
          <w:sz w:val="32"/>
          <w:szCs w:val="32"/>
          <w:lang w:val="en-US" w:eastAsia="zh-CN"/>
        </w:rPr>
        <w:t>7</w:t>
      </w:r>
      <w:r>
        <w:rPr>
          <w:rFonts w:hint="eastAsia" w:ascii="仿宋" w:hAnsi="仿宋" w:eastAsia="仿宋" w:cs="仿宋"/>
          <w:sz w:val="32"/>
          <w:szCs w:val="32"/>
        </w:rPr>
        <w:t>月，完成标准草案初稿的编制，并送有关单位和专家征求意见。</w:t>
      </w:r>
      <w:bookmarkEnd w:id="1"/>
      <w:bookmarkEnd w:id="4"/>
      <w:bookmarkStart w:id="5" w:name="二现状和标准编制的必要性"/>
    </w:p>
    <w:p w14:paraId="2FEDF51D">
      <w:pPr>
        <w:pStyle w:val="3"/>
        <w:numPr>
          <w:ilvl w:val="0"/>
          <w:numId w:val="1"/>
        </w:numPr>
        <w:ind w:left="0" w:leftChars="0" w:firstLine="0" w:firstLineChars="0"/>
        <w:jc w:val="left"/>
        <w:rPr>
          <w:rFonts w:hint="eastAsia" w:ascii="黑体" w:hAnsi="黑体" w:eastAsia="黑体" w:cs="黑体"/>
          <w:sz w:val="32"/>
          <w:szCs w:val="32"/>
        </w:rPr>
      </w:pPr>
      <w:r>
        <w:rPr>
          <w:rFonts w:hint="eastAsia" w:ascii="黑体" w:hAnsi="黑体" w:eastAsia="黑体" w:cs="黑体"/>
          <w:sz w:val="32"/>
          <w:szCs w:val="32"/>
        </w:rPr>
        <w:t>现状和标准编制的必要性</w:t>
      </w:r>
      <w:bookmarkStart w:id="6" w:name="一我国栎类资源现状"/>
    </w:p>
    <w:p w14:paraId="2947D8B1">
      <w:pPr>
        <w:pStyle w:val="3"/>
        <w:numPr>
          <w:ilvl w:val="0"/>
          <w:numId w:val="0"/>
        </w:numPr>
        <w:ind w:leftChars="0"/>
        <w:jc w:val="left"/>
        <w:rPr>
          <w:rFonts w:hint="eastAsia" w:ascii="楷体" w:hAnsi="楷体" w:eastAsia="楷体" w:cs="楷体"/>
          <w:sz w:val="32"/>
          <w:szCs w:val="32"/>
        </w:rPr>
      </w:pPr>
      <w:r>
        <w:rPr>
          <w:rFonts w:hint="eastAsia" w:ascii="楷体" w:hAnsi="楷体" w:eastAsia="楷体" w:cs="楷体"/>
          <w:sz w:val="32"/>
          <w:szCs w:val="32"/>
        </w:rPr>
        <w:t>（一）我国栎类资源现状</w:t>
      </w:r>
    </w:p>
    <w:p w14:paraId="2D4A3D8B">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p>
    <w:p w14:paraId="04B622A0">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栎类（Quercus spp.）是我国分布范围最广、资源体量最大的阔叶树种组，以天然次生林为主体，在全国森林碳汇、生物多样性维持、区域生态安全屏障构建中占据关键地位。全国森林资源清查数据显示，我国栎类林面积、蓄积在乔木树种组中位居前列，栎类乔木林总面积超1600万hm²，蓄积量约12.9亿m³，其中天然栎林占比超过 96%，是我国天然阔叶林中最重要的碳库载体之一。我国栎类资源南北分异特征显著，南方以常绿栎类为主，北方以落叶栎类占绝对优势；东北地区优势树种为蒙古栎（柞树），是温带针阔混交林、天然次生阔叶林的建群种与优势树种。</w:t>
      </w:r>
    </w:p>
    <w:p w14:paraId="53F69E01">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黑龙江省是我国蒙古栎核心分布区之一，蒙古栎广泛分布于大小兴安岭、张广才岭、老爷岭、完达山及松嫩平原东部丘陵地带，多形成纯林或以蒙古栎为优势的针阔混交林、阔叶混交林。蒙古栎耐寒、耐旱、耐贫瘠、萌生能力强，在火烧迹地、采伐迹地植被恢复中发挥先锋作用，是黑龙江省天然次生林演替体系中的关键树种。长期以来，经过天然林保护、森林抚育等工程实施，省内蒙古栎林面积持续稳定，林分涵盖幼龄林、中龄林、近熟林、成熟林多个龄组，兼具地上植被碳库与林下土壤碳库双重固碳潜力，是黑龙江省林业碳汇资源、区域碳中和本底评估不可忽视的森林类型。</w:t>
      </w:r>
    </w:p>
    <w:p w14:paraId="780C96CD">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同时，栎类林兼具木材产出、林下经济、水源涵养、水土保持、野生动物栖息地等多重功能。随着 “双碳” 战略持续推进，各地陆续开展森林碳储量清查、碳汇项目开发、生态系统服务价值核算工作，栎类森林碳汇量化需求快速增长。但受区域树种特性、林分起源、经营历史差异影响，全国范围内栎类资源碳汇潜力空间异质性极强，南方常绿栎类与北方落叶蒙古栎不能简单套用同一套估算参数与方法，亟需建立区域针对性技术规范支撑精准计量。</w:t>
      </w:r>
      <w:bookmarkEnd w:id="6"/>
      <w:bookmarkStart w:id="7" w:name="二该技术研究现状"/>
    </w:p>
    <w:p w14:paraId="73DD61F4">
      <w:pPr>
        <w:pStyle w:val="3"/>
        <w:numPr>
          <w:ilvl w:val="0"/>
          <w:numId w:val="0"/>
        </w:numPr>
        <w:ind w:leftChars="0"/>
        <w:jc w:val="left"/>
        <w:rPr>
          <w:rFonts w:hint="eastAsia" w:ascii="楷体" w:hAnsi="楷体" w:eastAsia="楷体" w:cs="楷体"/>
          <w:sz w:val="32"/>
          <w:szCs w:val="32"/>
        </w:rPr>
      </w:pPr>
      <w:r>
        <w:rPr>
          <w:rFonts w:hint="eastAsia" w:ascii="楷体" w:hAnsi="楷体" w:eastAsia="楷体" w:cs="楷体"/>
          <w:sz w:val="32"/>
          <w:szCs w:val="32"/>
        </w:rPr>
        <w:t>（二）该技术研究现状</w:t>
      </w:r>
    </w:p>
    <w:p w14:paraId="4724504E">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国内学者针对蒙古栎开展大量样木采伐实测，构建基于胸径、树高的一元、二元生物量回归模型，区分树干、树枝、树叶、根系等器官建立相容性生物量方程，配套根茎比、器官含碳率参数，成为区域碳储量估算最常用手段。在东北地区，已有研究通过收集黑龙江、吉林、辽宁及内蒙古东部地区解析木与生物量实测数据集，形成可加性碳储量模型体系，为基层调查提供基础支撑。黑龙江省天然蒙古栎解析木数据也已用于构建一元、二元生物量和含碳量可加性模型系统。</w:t>
      </w:r>
    </w:p>
    <w:p w14:paraId="44CD9EC8">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在标准体系层面，国家已出台《森林生态系统碳储量计量指南》《造林碳汇项目方法学》《森林经营碳汇项目方法学》《森林土壤碳储量调查技术规程》等通用性标准，确立森林碳储量核算总体框架。GB/T 43648—2024《主要树种立木生物量模型与碳计量参数》已发布实施，适用于全国范围内栎树等21个主要树种（组）林木生物量与碳储量的计量。LY/T 2658—2016《立木生物量模型及碳计量参数——栎树》行业标准规定了栎树的立木生物量模型及其相容性生物量转换因子函数、根茎比函数和含碳系数等。此外，湖南省也已制定DB43/T 3080.4—2024《栎类立木材积与生物量模型》地方标准。</w:t>
      </w:r>
      <w:bookmarkEnd w:id="7"/>
      <w:bookmarkStart w:id="8" w:name="三存在的问题"/>
      <w:r>
        <w:rPr>
          <w:rFonts w:hint="eastAsia" w:ascii="仿宋" w:hAnsi="仿宋" w:eastAsia="仿宋" w:cs="仿宋"/>
          <w:sz w:val="32"/>
          <w:szCs w:val="32"/>
        </w:rPr>
        <w:t>黑龙江省内相关研究多集中于高校、科研院所，形成一批本地化模型与参数，但研究成果分散、没有形成统一、可直接面向林业调查、碳汇核查推广使用的标准化技术流程。总体来看，基础理论研究成果较为丰富，但科研成果向行业实操技术规范转化明显滞后。</w:t>
      </w:r>
    </w:p>
    <w:p w14:paraId="0E4E2157">
      <w:pPr>
        <w:pStyle w:val="3"/>
        <w:numPr>
          <w:ilvl w:val="0"/>
          <w:numId w:val="0"/>
        </w:numPr>
        <w:ind w:leftChars="0"/>
        <w:jc w:val="left"/>
        <w:rPr>
          <w:rFonts w:hint="eastAsia" w:ascii="楷体" w:hAnsi="楷体" w:eastAsia="楷体" w:cs="楷体"/>
          <w:sz w:val="32"/>
          <w:szCs w:val="32"/>
        </w:rPr>
      </w:pPr>
      <w:r>
        <w:rPr>
          <w:rFonts w:hint="eastAsia" w:ascii="楷体" w:hAnsi="楷体" w:eastAsia="楷体" w:cs="楷体"/>
          <w:sz w:val="32"/>
          <w:szCs w:val="32"/>
        </w:rPr>
        <w:t>（三）存在的问题</w:t>
      </w:r>
    </w:p>
    <w:p w14:paraId="5F03B63D">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尽管已有国家及行业标准，但针对黑龙江省栎类林碳储量估算仍存在以下问题：</w:t>
      </w:r>
    </w:p>
    <w:p w14:paraId="2CF7F7CF">
      <w:pPr>
        <w:pStyle w:val="26"/>
        <w:keepNext w:val="0"/>
        <w:keepLines w:val="0"/>
        <w:pageBreakBefore w:val="0"/>
        <w:widowControl/>
        <w:numPr>
          <w:ilvl w:val="0"/>
          <w:numId w:val="2"/>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估算方法选用随意，技术路径不统一</w:t>
      </w:r>
    </w:p>
    <w:p w14:paraId="3404F7BD">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开展栎类碳储量测算时，技术人员可选择蓄积扩展因子法、单木生物量模型法、遥感估算法等多种途径，但缺少统一适用场景界定。不同单位、不同项目采用方法不一，同一区域测算结果差异显著，数据横向可比性差，难以满足碳汇核查、资源动态对比、碳汇交易等规范化管理需求。</w:t>
      </w:r>
    </w:p>
    <w:p w14:paraId="4DD3F055">
      <w:pPr>
        <w:pStyle w:val="26"/>
        <w:keepNext w:val="0"/>
        <w:keepLines w:val="0"/>
        <w:pageBreakBefore w:val="0"/>
        <w:widowControl/>
        <w:numPr>
          <w:ilvl w:val="0"/>
          <w:numId w:val="2"/>
        </w:numPr>
        <w:kinsoku/>
        <w:wordWrap/>
        <w:overflowPunct/>
        <w:topLinePunct w:val="0"/>
        <w:autoSpaceDE/>
        <w:autoSpaceDN/>
        <w:bidi w:val="0"/>
        <w:adjustRightInd/>
        <w:snapToGrid/>
        <w:spacing w:before="0" w:after="0" w:line="578" w:lineRule="exact"/>
        <w:ind w:left="0"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模型与参数混用，本地化适配性不足</w:t>
      </w:r>
    </w:p>
    <w:p w14:paraId="3A74B267">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通用标准提供全国性树种参数，南方栎类、华北栎类参数直接套用至黑龙江蒙古栎林，存在显著系统偏差。各地研究文献中蒙古栎生物量模型、根茎比、器官含碳率版本众多，缺乏筛选原则；基层调查人员经常直接引用外省模型，忽略林分起源、气候、立地条件差异，估算不确定性大幅上升。</w:t>
      </w:r>
    </w:p>
    <w:p w14:paraId="3614ACF8">
      <w:pPr>
        <w:pStyle w:val="26"/>
        <w:keepNext w:val="0"/>
        <w:keepLines w:val="0"/>
        <w:pageBreakBefore w:val="0"/>
        <w:widowControl/>
        <w:numPr>
          <w:ilvl w:val="0"/>
          <w:numId w:val="2"/>
        </w:numPr>
        <w:kinsoku/>
        <w:wordWrap/>
        <w:overflowPunct/>
        <w:topLinePunct w:val="0"/>
        <w:autoSpaceDE/>
        <w:autoSpaceDN/>
        <w:bidi w:val="0"/>
        <w:adjustRightInd/>
        <w:snapToGrid/>
        <w:spacing w:before="0" w:after="0" w:line="578" w:lineRule="exact"/>
        <w:ind w:left="0"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缺乏完整的数据质量控制与不确定性评估流程</w:t>
      </w:r>
    </w:p>
    <w:p w14:paraId="2C12A354">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从野外样地布设、样品采集、室内测定、模型运算到结果汇总，缺少全链条质控要求。多数项目只输出碳储量数值，不开展不确定性分析，无法满足碳汇审定、生态监测报告、自然资源资产核算对数据可信度的要求。</w:t>
      </w:r>
    </w:p>
    <w:p w14:paraId="7E44CF68">
      <w:pPr>
        <w:pStyle w:val="26"/>
        <w:keepNext w:val="0"/>
        <w:keepLines w:val="0"/>
        <w:pageBreakBefore w:val="0"/>
        <w:widowControl/>
        <w:numPr>
          <w:ilvl w:val="0"/>
          <w:numId w:val="2"/>
        </w:numPr>
        <w:kinsoku/>
        <w:wordWrap/>
        <w:overflowPunct/>
        <w:topLinePunct w:val="0"/>
        <w:autoSpaceDE/>
        <w:autoSpaceDN/>
        <w:bidi w:val="0"/>
        <w:adjustRightInd/>
        <w:snapToGrid/>
        <w:spacing w:before="0" w:after="0" w:line="578" w:lineRule="exact"/>
        <w:ind w:left="0"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科研成果与业务应用脱节，操作指导性弱</w:t>
      </w:r>
    </w:p>
    <w:p w14:paraId="720AFEBE">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现有成果大多为学术论文，公式复杂、门槛高，缺少面向林业调查规划院、国有林场、基层林业技术人员的简化操作流程；没有形成术语定义、外业调查、内业计算、报告编制一体化技术指引，不利于技术落地推广。</w:t>
      </w:r>
    </w:p>
    <w:p w14:paraId="77F188D7">
      <w:pPr>
        <w:pStyle w:val="26"/>
        <w:keepNext w:val="0"/>
        <w:keepLines w:val="0"/>
        <w:pageBreakBefore w:val="0"/>
        <w:widowControl/>
        <w:numPr>
          <w:ilvl w:val="0"/>
          <w:numId w:val="2"/>
        </w:numPr>
        <w:kinsoku/>
        <w:wordWrap/>
        <w:overflowPunct/>
        <w:topLinePunct w:val="0"/>
        <w:autoSpaceDE/>
        <w:autoSpaceDN/>
        <w:bidi w:val="0"/>
        <w:adjustRightInd/>
        <w:snapToGrid/>
        <w:spacing w:before="0" w:after="0" w:line="578" w:lineRule="exact"/>
        <w:ind w:left="0"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缺少适配黑龙江省二类调查、碳汇项目的标准化工作流程</w:t>
      </w:r>
    </w:p>
    <w:p w14:paraId="0402006C">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在森林资源更新调查、天然林经营成效评估、林业碳汇项目开发、生态系统价值核算等工作中，亟需一套兼顾精度与工作效率、适配现有森林调查体系的栎类碳储量估算规程，当前标准供给存在明显空白。</w:t>
      </w:r>
    </w:p>
    <w:bookmarkEnd w:id="8"/>
    <w:p w14:paraId="669C6348">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jc w:val="left"/>
        <w:textAlignment w:val="auto"/>
        <w:rPr>
          <w:rFonts w:hint="eastAsia" w:ascii="楷体" w:hAnsi="楷体" w:eastAsia="楷体" w:cs="楷体"/>
          <w:sz w:val="32"/>
          <w:szCs w:val="32"/>
        </w:rPr>
      </w:pPr>
      <w:bookmarkStart w:id="9" w:name="四编制标准的必要性和意义"/>
      <w:r>
        <w:rPr>
          <w:rFonts w:hint="eastAsia" w:ascii="楷体" w:hAnsi="楷体" w:eastAsia="楷体" w:cs="楷体"/>
          <w:sz w:val="32"/>
          <w:szCs w:val="32"/>
        </w:rPr>
        <w:t>（四）编制标准的必要性和意义</w:t>
      </w:r>
    </w:p>
    <w:p w14:paraId="17B850A2">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default" w:ascii="仿宋" w:hAnsi="仿宋" w:eastAsia="仿宋" w:cs="仿宋"/>
          <w:sz w:val="32"/>
          <w:szCs w:val="32"/>
          <w:lang w:val="en-US" w:eastAsia="zh-CN"/>
        </w:rPr>
      </w:pPr>
      <w:r>
        <w:rPr>
          <w:rFonts w:hint="eastAsia" w:ascii="仿宋" w:hAnsi="仿宋" w:eastAsia="仿宋" w:cs="仿宋"/>
          <w:sz w:val="32"/>
          <w:szCs w:val="32"/>
        </w:rPr>
        <w:t>栎类是黑龙江省重要建群树种之一，是全省森林碳汇评估的重要组成部分，也是各林区发展林业碳汇经营的基础。</w:t>
      </w:r>
      <w:r>
        <w:rPr>
          <w:rFonts w:hint="eastAsia" w:ascii="仿宋" w:hAnsi="仿宋" w:eastAsia="仿宋" w:cs="仿宋"/>
          <w:sz w:val="32"/>
          <w:szCs w:val="32"/>
          <w:lang w:val="en-US" w:eastAsia="zh-CN"/>
        </w:rPr>
        <w:t>标准编制必要性和意义如下：</w:t>
      </w:r>
    </w:p>
    <w:p w14:paraId="323125E8">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1. 填补黑龙江省栎类碳储量专项技术标准空白，完善区域林业碳汇标准体系</w:t>
      </w:r>
    </w:p>
    <w:p w14:paraId="4E59E704">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现有国家、行业标准以通用性规范为主，缺少针对北方落叶栎类（蒙古栎）、适配黑龙江气候与森林类型的专项技术指南。制定本团体标准，能够在现有标准框架下细化栎类专项技术要求，形成 “通用标准 + 区域树种专项指南” 的层级化技术体系，补齐温带、寒温带天然次生栎林碳计量标准短板，丰富黑龙江省林业碳汇领域标准成果。</w:t>
      </w:r>
    </w:p>
    <w:p w14:paraId="372970D2">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2. 统一估算技术方法与关键参数，降低碳储量估算不确定性，保障数据可比性</w:t>
      </w:r>
    </w:p>
    <w:p w14:paraId="5A01BF40">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通过规范适用范围、外业调查方法、模型筛选原则、本地化参数选用、计算流程、质量控制与不确定性评估规则，解决长期存在的方法不一、参数乱套、结果难以对比的痛点。保证不同单位、不同时期开展蒙古栎林碳储量调查结果具备横向、纵向可比性，为森林碳汇动态监测、碳汇成效评估提供统一技术标尺。</w:t>
      </w:r>
    </w:p>
    <w:p w14:paraId="5E7179CB">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3. 支撑黑龙江省 “双碳” 目标落地，服务森林资源精细化管理</w:t>
      </w:r>
    </w:p>
    <w:p w14:paraId="0D5621DB">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栎林是黑龙江天然次生林主体类型之一，准确量化其碳储量与固碳潜力，是开展森林碳汇本底调查、编制林业应对气候变化行动方案、实施天然林保护与森林抚育增汇经营的基础支撑。标准实施后，可为全省森林经营方案编制、次生林提质增效、森林碳汇潜力分区评估提供标准化技术工具，推动森林资源管理由传统蓄积管理向蓄积–碳储量协同管理转变。</w:t>
      </w:r>
    </w:p>
    <w:p w14:paraId="1EE8959F">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4. 规范林业碳汇项目计量核查，助力林业碳汇价值实现</w:t>
      </w:r>
    </w:p>
    <w:p w14:paraId="58499B0D">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随着国内林业碳汇市场不断发展，黑龙江省具备依托天然蒙古栎次生林开发森林经营碳汇项目的潜力。统一的碳储量估算指南能够为碳汇项目设计、监测、审定与核证提供本地化技术依据，减少计量争议，提升碳汇计量结果公信力，推动栎类生态价值转化，助力林区绿色低碳发展。</w:t>
      </w:r>
    </w:p>
    <w:p w14:paraId="48B592E4">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5</w:t>
      </w:r>
      <w:r>
        <w:rPr>
          <w:rFonts w:hint="eastAsia" w:ascii="仿宋" w:hAnsi="仿宋" w:eastAsia="仿宋" w:cs="仿宋"/>
          <w:sz w:val="32"/>
          <w:szCs w:val="32"/>
        </w:rPr>
        <w:t>. 为东北温带次生阔叶林碳汇监测提供技术参考，具备区域示范价值</w:t>
      </w:r>
    </w:p>
    <w:p w14:paraId="267769A1">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黑龙江蒙古栎林是我国温带次生落叶阔叶林典型代表，本标准形成的技术框架、参数选用思路、质量控制体系，可为吉林、辽宁、内蒙古东部等邻近区域蒙古栎碳储量估算工作提供借鉴，对整个东北林区天然阔叶次生林碳汇精准计量具有示范推广意义。</w:t>
      </w:r>
    </w:p>
    <w:bookmarkEnd w:id="5"/>
    <w:bookmarkEnd w:id="9"/>
    <w:p w14:paraId="0F920615">
      <w:pPr>
        <w:pStyle w:val="3"/>
        <w:numPr>
          <w:ilvl w:val="0"/>
          <w:numId w:val="0"/>
        </w:numPr>
        <w:ind w:leftChars="0"/>
        <w:jc w:val="left"/>
        <w:rPr>
          <w:rFonts w:hint="eastAsia" w:ascii="黑体" w:hAnsi="黑体" w:eastAsia="黑体" w:cs="黑体"/>
          <w:sz w:val="32"/>
          <w:szCs w:val="32"/>
        </w:rPr>
      </w:pPr>
      <w:bookmarkStart w:id="10" w:name="三编制原则"/>
      <w:r>
        <w:rPr>
          <w:rFonts w:hint="eastAsia" w:ascii="黑体" w:hAnsi="黑体" w:eastAsia="黑体" w:cs="黑体"/>
          <w:sz w:val="32"/>
          <w:szCs w:val="32"/>
        </w:rPr>
        <w:t>三、编制原则</w:t>
      </w:r>
    </w:p>
    <w:p w14:paraId="6FEB2907">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标准编写必须符合GB/T 1.1—2020《标准化工作导则 第1部分：标准化文件的结构和起草规则》。</w:t>
      </w:r>
    </w:p>
    <w:p w14:paraId="2AC578ED">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标准编写过程中遵循全面、科学、合理、可行的原则，与生产实践相结合，做到既先进又切实可行。</w:t>
      </w:r>
    </w:p>
    <w:p w14:paraId="15CB0C7D">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编制本标准科学性和可操作性强，基于实测数据构建生物量模型，明确模型参数和含碳系数，便于基层应用。</w:t>
      </w:r>
      <w:bookmarkEnd w:id="10"/>
      <w:bookmarkStart w:id="11" w:name="四主要试验或验证的分析综述报告技术经济论证预期的经济效果"/>
    </w:p>
    <w:p w14:paraId="43BA075C">
      <w:pPr>
        <w:pStyle w:val="3"/>
        <w:numPr>
          <w:ilvl w:val="0"/>
          <w:numId w:val="1"/>
        </w:numPr>
        <w:ind w:left="0" w:leftChars="0" w:firstLine="0" w:firstLineChars="0"/>
        <w:jc w:val="left"/>
        <w:rPr>
          <w:rFonts w:hint="eastAsia" w:ascii="黑体" w:hAnsi="黑体" w:eastAsia="黑体" w:cs="黑体"/>
          <w:sz w:val="32"/>
          <w:szCs w:val="32"/>
        </w:rPr>
      </w:pPr>
      <w:r>
        <w:rPr>
          <w:rFonts w:hint="eastAsia" w:ascii="黑体" w:hAnsi="黑体" w:eastAsia="黑体" w:cs="黑体"/>
          <w:sz w:val="32"/>
          <w:szCs w:val="32"/>
        </w:rPr>
        <w:t>主要试验（或验证）的分析、综述报告，技术经济论证，预期的经济效果</w:t>
      </w:r>
      <w:bookmarkStart w:id="12" w:name="一主要试验分析"/>
    </w:p>
    <w:p w14:paraId="1A43E2CF">
      <w:pPr>
        <w:pStyle w:val="3"/>
        <w:numPr>
          <w:ilvl w:val="0"/>
          <w:numId w:val="3"/>
        </w:numPr>
        <w:ind w:leftChars="0"/>
        <w:jc w:val="left"/>
        <w:rPr>
          <w:rFonts w:hint="eastAsia" w:ascii="楷体" w:hAnsi="楷体" w:eastAsia="楷体" w:cs="楷体"/>
          <w:sz w:val="32"/>
          <w:szCs w:val="32"/>
        </w:rPr>
      </w:pPr>
      <w:r>
        <w:rPr>
          <w:rFonts w:hint="eastAsia" w:ascii="楷体" w:hAnsi="楷体" w:eastAsia="楷体" w:cs="楷体"/>
          <w:sz w:val="32"/>
          <w:szCs w:val="32"/>
        </w:rPr>
        <w:t>主要试验分析</w:t>
      </w:r>
      <w:bookmarkStart w:id="13" w:name="数据采集"/>
    </w:p>
    <w:p w14:paraId="69E576B8">
      <w:pPr>
        <w:pStyle w:val="3"/>
        <w:numPr>
          <w:ilvl w:val="0"/>
          <w:numId w:val="0"/>
        </w:numPr>
        <w:jc w:val="left"/>
        <w:rPr>
          <w:rFonts w:hint="eastAsia" w:ascii="仿宋" w:hAnsi="仿宋" w:eastAsia="仿宋" w:cs="仿宋"/>
          <w:b w:val="0"/>
          <w:bCs w:val="0"/>
          <w:i w:val="0"/>
          <w:iCs w:val="0"/>
          <w:color w:val="auto"/>
          <w:sz w:val="32"/>
          <w:szCs w:val="32"/>
        </w:rPr>
      </w:pPr>
      <w:r>
        <w:rPr>
          <w:rFonts w:hint="eastAsia" w:ascii="仿宋" w:hAnsi="仿宋" w:eastAsia="仿宋" w:cs="仿宋"/>
          <w:b w:val="0"/>
          <w:bCs w:val="0"/>
          <w:i w:val="0"/>
          <w:iCs w:val="0"/>
          <w:color w:val="auto"/>
          <w:sz w:val="32"/>
          <w:szCs w:val="32"/>
        </w:rPr>
        <w:t>1. 数据采集</w:t>
      </w:r>
    </w:p>
    <w:p w14:paraId="19269509">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default" w:ascii="Times New Roman" w:hAnsi="Times New Roman" w:eastAsia="仿宋" w:cs="Times New Roman"/>
          <w:sz w:val="32"/>
          <w:szCs w:val="32"/>
        </w:rPr>
      </w:pPr>
      <w:r>
        <w:rPr>
          <w:rFonts w:hint="eastAsia" w:ascii="仿宋" w:hAnsi="仿宋" w:eastAsia="仿宋" w:cs="仿宋"/>
          <w:sz w:val="32"/>
          <w:szCs w:val="32"/>
        </w:rPr>
        <w:t>本标准中模型构建的数据采集工作在黑龙江省林区内进行。采集范围涵盖大兴安岭林区、小兴安岭林区和张广才岭、完达山林区三个次级林区，对区域内栎类各部位的生物量、含碳量等指标进行统计调查。主要采集树种为蒙古栎，共采集有效样本270余条，</w:t>
      </w:r>
      <w:r>
        <w:rPr>
          <w:rFonts w:hint="default" w:ascii="Times New Roman" w:hAnsi="Times New Roman" w:eastAsia="仿宋" w:cs="Times New Roman"/>
          <w:sz w:val="32"/>
          <w:szCs w:val="32"/>
        </w:rPr>
        <w:t>胸径范围覆盖2.07~43.5 cm，树高范围覆盖0.25~23.3 m。</w:t>
      </w:r>
      <w:bookmarkEnd w:id="13"/>
      <w:bookmarkStart w:id="14" w:name="生物量模型构建"/>
    </w:p>
    <w:p w14:paraId="609EBD64">
      <w:pPr>
        <w:pStyle w:val="3"/>
        <w:jc w:val="center"/>
        <w:rPr>
          <w:rFonts w:hint="eastAsia"/>
        </w:rPr>
      </w:pPr>
      <w:r>
        <w:rPr>
          <w:rFonts w:hint="eastAsia" w:ascii="宋体" w:hAnsi="宋体" w:eastAsia="宋体" w:cs="宋体"/>
          <w:color w:val="000000"/>
          <w:lang w:val="en-US" w:eastAsia="zh-CN"/>
        </w:rPr>
        <w:drawing>
          <wp:inline distT="0" distB="0" distL="114300" distR="114300">
            <wp:extent cx="4977130" cy="2796540"/>
            <wp:effectExtent l="0" t="0" r="13970" b="3810"/>
            <wp:docPr id="2" name="图片 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1"/>
                    <pic:cNvPicPr>
                      <a:picLocks noChangeAspect="1"/>
                    </pic:cNvPicPr>
                  </pic:nvPicPr>
                  <pic:blipFill>
                    <a:blip r:embed="rId5"/>
                    <a:stretch>
                      <a:fillRect/>
                    </a:stretch>
                  </pic:blipFill>
                  <pic:spPr>
                    <a:xfrm>
                      <a:off x="0" y="0"/>
                      <a:ext cx="4977130" cy="2796540"/>
                    </a:xfrm>
                    <a:prstGeom prst="rect">
                      <a:avLst/>
                    </a:prstGeom>
                  </pic:spPr>
                </pic:pic>
              </a:graphicData>
            </a:graphic>
          </wp:inline>
        </w:drawing>
      </w:r>
    </w:p>
    <w:p w14:paraId="50D87C5F">
      <w:pPr>
        <w:pStyle w:val="26"/>
        <w:numPr>
          <w:ilvl w:val="0"/>
          <w:numId w:val="0"/>
        </w:numPr>
        <w:ind w:leftChars="0"/>
        <w:jc w:val="left"/>
        <w:rPr>
          <w:rFonts w:hint="eastAsia" w:ascii="仿宋" w:hAnsi="仿宋" w:eastAsia="仿宋" w:cs="仿宋"/>
          <w:b w:val="0"/>
          <w:bCs w:val="0"/>
          <w:i w:val="0"/>
          <w:iCs w:val="0"/>
          <w:color w:val="auto"/>
          <w:sz w:val="32"/>
          <w:szCs w:val="32"/>
        </w:rPr>
      </w:pPr>
      <w:r>
        <w:rPr>
          <w:rFonts w:hint="eastAsia" w:ascii="仿宋" w:hAnsi="仿宋" w:eastAsia="仿宋" w:cs="仿宋"/>
          <w:b w:val="0"/>
          <w:bCs w:val="0"/>
          <w:i w:val="0"/>
          <w:iCs w:val="0"/>
          <w:color w:val="auto"/>
          <w:sz w:val="32"/>
          <w:szCs w:val="32"/>
        </w:rPr>
        <w:t>2. 生物量模型构建</w:t>
      </w:r>
    </w:p>
    <w:bookmarkEnd w:id="11"/>
    <w:bookmarkEnd w:id="12"/>
    <w:bookmarkEnd w:id="14"/>
    <w:p w14:paraId="157A9E41">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bookmarkStart w:id="15" w:name="十其他应予说明的重要事项"/>
      <w:r>
        <w:rPr>
          <w:rFonts w:hint="eastAsia" w:ascii="仿宋" w:hAnsi="仿宋" w:eastAsia="仿宋" w:cs="仿宋"/>
          <w:sz w:val="32"/>
          <w:szCs w:val="32"/>
        </w:rPr>
        <w:t>本研究采用幂函数模型形式，分别构建了栎类立木的地上和地下二元生物量模型：</w:t>
      </w:r>
    </w:p>
    <w:p w14:paraId="21BB739E">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jc w:val="left"/>
        <w:textAlignment w:val="auto"/>
        <w:rPr>
          <w:rFonts w:hint="eastAsia" w:ascii="仿宋" w:hAnsi="仿宋" w:eastAsia="仿宋" w:cs="仿宋"/>
          <w:sz w:val="32"/>
          <w:szCs w:val="32"/>
        </w:rPr>
      </w:pPr>
      <w:r>
        <w:rPr>
          <w:rFonts w:hint="eastAsia" w:ascii="仿宋" w:hAnsi="仿宋" w:eastAsia="仿宋" w:cs="仿宋"/>
          <w:sz w:val="32"/>
          <w:szCs w:val="32"/>
        </w:rPr>
        <w:t>二元生物量模型</w:t>
      </w:r>
    </w:p>
    <w:p w14:paraId="2DE54197">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jc w:val="left"/>
        <w:textAlignment w:val="auto"/>
        <w:rPr>
          <w:rFonts w:hint="eastAsia" w:ascii="仿宋" w:hAnsi="仿宋" w:eastAsia="仿宋" w:cs="仿宋"/>
          <w:sz w:val="32"/>
          <w:szCs w:val="32"/>
        </w:rPr>
      </w:pPr>
      <m:oMathPara>
        <m:oMath>
          <m:sSub>
            <m:sSubPr>
              <m:ctrlPr>
                <w:rPr>
                  <w:rFonts w:hint="eastAsia" w:ascii="Cambria Math" w:hAnsi="Cambria Math" w:eastAsia="仿宋" w:cs="仿宋"/>
                  <w:sz w:val="32"/>
                  <w:szCs w:val="32"/>
                </w:rPr>
              </m:ctrlPr>
            </m:sSubPr>
            <m:e>
              <m:r>
                <m:rPr>
                  <m:sty m:val="p"/>
                </m:rPr>
                <w:rPr>
                  <w:rFonts w:hint="eastAsia" w:ascii="Cambria Math" w:hAnsi="Cambria Math" w:eastAsia="仿宋" w:cs="仿宋"/>
                  <w:sz w:val="32"/>
                  <w:szCs w:val="32"/>
                </w:rPr>
                <m:t>M</m:t>
              </m:r>
              <m:ctrlPr>
                <w:rPr>
                  <w:rFonts w:hint="eastAsia" w:ascii="Cambria Math" w:hAnsi="Cambria Math" w:eastAsia="仿宋" w:cs="仿宋"/>
                  <w:sz w:val="32"/>
                  <w:szCs w:val="32"/>
                </w:rPr>
              </m:ctrlPr>
            </m:e>
            <m:sub>
              <m:r>
                <m:rPr>
                  <m:sty m:val="p"/>
                </m:rPr>
                <w:rPr>
                  <w:rFonts w:hint="eastAsia" w:ascii="Cambria Math" w:hAnsi="Cambria Math" w:eastAsia="仿宋" w:cs="仿宋"/>
                  <w:sz w:val="32"/>
                  <w:szCs w:val="32"/>
                </w:rPr>
                <m:t>A</m:t>
              </m:r>
              <m:ctrlPr>
                <w:rPr>
                  <w:rFonts w:hint="eastAsia" w:ascii="Cambria Math" w:hAnsi="Cambria Math" w:eastAsia="仿宋" w:cs="仿宋"/>
                  <w:sz w:val="32"/>
                  <w:szCs w:val="32"/>
                </w:rPr>
              </m:ctrlPr>
            </m:sub>
          </m:sSub>
          <m:r>
            <m:rPr>
              <m:sty m:val="p"/>
            </m:rPr>
            <w:rPr>
              <w:rFonts w:hint="eastAsia" w:ascii="Cambria Math" w:hAnsi="Cambria Math" w:eastAsia="仿宋" w:cs="仿宋"/>
              <w:sz w:val="32"/>
              <w:szCs w:val="32"/>
            </w:rPr>
            <m:t>=</m:t>
          </m:r>
          <m:sSub>
            <m:sSubPr>
              <m:ctrlPr>
                <w:rPr>
                  <w:rFonts w:hint="eastAsia" w:ascii="Cambria Math" w:hAnsi="Cambria Math" w:eastAsia="仿宋" w:cs="仿宋"/>
                  <w:sz w:val="32"/>
                  <w:szCs w:val="32"/>
                </w:rPr>
              </m:ctrlPr>
            </m:sSubPr>
            <m:e>
              <m:r>
                <m:rPr>
                  <m:sty m:val="p"/>
                </m:rPr>
                <w:rPr>
                  <w:rFonts w:hint="eastAsia" w:ascii="Cambria Math" w:hAnsi="Cambria Math" w:eastAsia="仿宋" w:cs="仿宋"/>
                  <w:sz w:val="32"/>
                  <w:szCs w:val="32"/>
                </w:rPr>
                <m:t>a</m:t>
              </m:r>
              <m:ctrlPr>
                <w:rPr>
                  <w:rFonts w:hint="eastAsia" w:ascii="Cambria Math" w:hAnsi="Cambria Math" w:eastAsia="仿宋" w:cs="仿宋"/>
                  <w:sz w:val="32"/>
                  <w:szCs w:val="32"/>
                </w:rPr>
              </m:ctrlPr>
            </m:e>
            <m:sub>
              <m:r>
                <m:rPr>
                  <m:sty m:val="p"/>
                </m:rPr>
                <w:rPr>
                  <w:rFonts w:hint="eastAsia" w:ascii="Cambria Math" w:hAnsi="Cambria Math" w:eastAsia="仿宋" w:cs="仿宋"/>
                  <w:sz w:val="32"/>
                  <w:szCs w:val="32"/>
                </w:rPr>
                <m:t>0</m:t>
              </m:r>
              <m:ctrlPr>
                <w:rPr>
                  <w:rFonts w:hint="eastAsia" w:ascii="Cambria Math" w:hAnsi="Cambria Math" w:eastAsia="仿宋" w:cs="仿宋"/>
                  <w:sz w:val="32"/>
                  <w:szCs w:val="32"/>
                </w:rPr>
              </m:ctrlPr>
            </m:sub>
          </m:sSub>
          <m:sSup>
            <m:sSupPr>
              <m:ctrlPr>
                <w:rPr>
                  <w:rFonts w:hint="eastAsia" w:ascii="Cambria Math" w:hAnsi="Cambria Math" w:eastAsia="仿宋" w:cs="仿宋"/>
                  <w:sz w:val="32"/>
                  <w:szCs w:val="32"/>
                </w:rPr>
              </m:ctrlPr>
            </m:sSupPr>
            <m:e>
              <m:r>
                <m:rPr>
                  <m:sty m:val="p"/>
                </m:rPr>
                <w:rPr>
                  <w:rFonts w:hint="eastAsia" w:ascii="Cambria Math" w:hAnsi="Cambria Math" w:eastAsia="仿宋" w:cs="仿宋"/>
                  <w:sz w:val="32"/>
                  <w:szCs w:val="32"/>
                </w:rPr>
                <m:t>D</m:t>
              </m:r>
              <m:ctrlPr>
                <w:rPr>
                  <w:rFonts w:hint="eastAsia" w:ascii="Cambria Math" w:hAnsi="Cambria Math" w:eastAsia="仿宋" w:cs="仿宋"/>
                  <w:sz w:val="32"/>
                  <w:szCs w:val="32"/>
                </w:rPr>
              </m:ctrlPr>
            </m:e>
            <m:sup>
              <m:sSub>
                <m:sSubPr>
                  <m:ctrlPr>
                    <w:rPr>
                      <w:rFonts w:hint="eastAsia" w:ascii="Cambria Math" w:hAnsi="Cambria Math" w:eastAsia="仿宋" w:cs="仿宋"/>
                      <w:sz w:val="32"/>
                      <w:szCs w:val="32"/>
                    </w:rPr>
                  </m:ctrlPr>
                </m:sSubPr>
                <m:e>
                  <m:r>
                    <m:rPr>
                      <m:sty m:val="p"/>
                    </m:rPr>
                    <w:rPr>
                      <w:rFonts w:hint="eastAsia" w:ascii="Cambria Math" w:hAnsi="Cambria Math" w:eastAsia="仿宋" w:cs="仿宋"/>
                      <w:sz w:val="32"/>
                      <w:szCs w:val="32"/>
                    </w:rPr>
                    <m:t>a</m:t>
                  </m:r>
                  <m:ctrlPr>
                    <w:rPr>
                      <w:rFonts w:hint="eastAsia" w:ascii="Cambria Math" w:hAnsi="Cambria Math" w:eastAsia="仿宋" w:cs="仿宋"/>
                      <w:sz w:val="32"/>
                      <w:szCs w:val="32"/>
                    </w:rPr>
                  </m:ctrlPr>
                </m:e>
                <m:sub>
                  <m:r>
                    <m:rPr>
                      <m:sty m:val="p"/>
                    </m:rPr>
                    <w:rPr>
                      <w:rFonts w:hint="eastAsia" w:ascii="Cambria Math" w:hAnsi="Cambria Math" w:eastAsia="仿宋" w:cs="仿宋"/>
                      <w:sz w:val="32"/>
                      <w:szCs w:val="32"/>
                    </w:rPr>
                    <m:t>1</m:t>
                  </m:r>
                  <m:ctrlPr>
                    <w:rPr>
                      <w:rFonts w:hint="eastAsia" w:ascii="Cambria Math" w:hAnsi="Cambria Math" w:eastAsia="仿宋" w:cs="仿宋"/>
                      <w:sz w:val="32"/>
                      <w:szCs w:val="32"/>
                    </w:rPr>
                  </m:ctrlPr>
                </m:sub>
              </m:sSub>
              <m:ctrlPr>
                <w:rPr>
                  <w:rFonts w:hint="eastAsia" w:ascii="Cambria Math" w:hAnsi="Cambria Math" w:eastAsia="仿宋" w:cs="仿宋"/>
                  <w:sz w:val="32"/>
                  <w:szCs w:val="32"/>
                </w:rPr>
              </m:ctrlPr>
            </m:sup>
          </m:sSup>
          <m:sSup>
            <m:sSupPr>
              <m:ctrlPr>
                <w:rPr>
                  <w:rFonts w:hint="eastAsia" w:ascii="Cambria Math" w:hAnsi="Cambria Math" w:eastAsia="仿宋" w:cs="仿宋"/>
                  <w:sz w:val="32"/>
                  <w:szCs w:val="32"/>
                </w:rPr>
              </m:ctrlPr>
            </m:sSupPr>
            <m:e>
              <m:r>
                <m:rPr>
                  <m:sty m:val="p"/>
                </m:rPr>
                <w:rPr>
                  <w:rFonts w:hint="eastAsia" w:ascii="Cambria Math" w:hAnsi="Cambria Math" w:eastAsia="仿宋" w:cs="仿宋"/>
                  <w:sz w:val="32"/>
                  <w:szCs w:val="32"/>
                </w:rPr>
                <m:t>H</m:t>
              </m:r>
              <m:ctrlPr>
                <w:rPr>
                  <w:rFonts w:hint="eastAsia" w:ascii="Cambria Math" w:hAnsi="Cambria Math" w:eastAsia="仿宋" w:cs="仿宋"/>
                  <w:sz w:val="32"/>
                  <w:szCs w:val="32"/>
                </w:rPr>
              </m:ctrlPr>
            </m:e>
            <m:sup>
              <m:sSub>
                <m:sSubPr>
                  <m:ctrlPr>
                    <w:rPr>
                      <w:rFonts w:hint="eastAsia" w:ascii="Cambria Math" w:hAnsi="Cambria Math" w:eastAsia="仿宋" w:cs="仿宋"/>
                      <w:sz w:val="32"/>
                      <w:szCs w:val="32"/>
                    </w:rPr>
                  </m:ctrlPr>
                </m:sSubPr>
                <m:e>
                  <m:r>
                    <m:rPr>
                      <m:sty m:val="p"/>
                    </m:rPr>
                    <w:rPr>
                      <w:rFonts w:hint="eastAsia" w:ascii="Cambria Math" w:hAnsi="Cambria Math" w:eastAsia="仿宋" w:cs="仿宋"/>
                      <w:sz w:val="32"/>
                      <w:szCs w:val="32"/>
                    </w:rPr>
                    <m:t>a</m:t>
                  </m:r>
                  <m:ctrlPr>
                    <w:rPr>
                      <w:rFonts w:hint="eastAsia" w:ascii="Cambria Math" w:hAnsi="Cambria Math" w:eastAsia="仿宋" w:cs="仿宋"/>
                      <w:sz w:val="32"/>
                      <w:szCs w:val="32"/>
                    </w:rPr>
                  </m:ctrlPr>
                </m:e>
                <m:sub>
                  <m:r>
                    <m:rPr>
                      <m:sty m:val="p"/>
                    </m:rPr>
                    <w:rPr>
                      <w:rFonts w:hint="eastAsia" w:ascii="Cambria Math" w:hAnsi="Cambria Math" w:eastAsia="仿宋" w:cs="仿宋"/>
                      <w:sz w:val="32"/>
                      <w:szCs w:val="32"/>
                    </w:rPr>
                    <m:t>2</m:t>
                  </m:r>
                  <m:ctrlPr>
                    <w:rPr>
                      <w:rFonts w:hint="eastAsia" w:ascii="Cambria Math" w:hAnsi="Cambria Math" w:eastAsia="仿宋" w:cs="仿宋"/>
                      <w:sz w:val="32"/>
                      <w:szCs w:val="32"/>
                    </w:rPr>
                  </m:ctrlPr>
                </m:sub>
              </m:sSub>
              <m:ctrlPr>
                <w:rPr>
                  <w:rFonts w:hint="eastAsia" w:ascii="Cambria Math" w:hAnsi="Cambria Math" w:eastAsia="仿宋" w:cs="仿宋"/>
                  <w:sz w:val="32"/>
                  <w:szCs w:val="32"/>
                </w:rPr>
              </m:ctrlPr>
            </m:sup>
          </m:sSup>
        </m:oMath>
      </m:oMathPara>
    </w:p>
    <w:p w14:paraId="243EA250">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jc w:val="left"/>
        <w:textAlignment w:val="auto"/>
        <w:rPr>
          <w:rFonts w:hint="eastAsia" w:hAnsi="Cambria Math" w:eastAsia="仿宋" w:cs="仿宋"/>
          <w:i w:val="0"/>
          <w:sz w:val="32"/>
          <w:szCs w:val="32"/>
        </w:rPr>
      </w:pPr>
      <m:oMathPara>
        <m:oMath>
          <m:sSub>
            <m:sSubPr>
              <m:ctrlPr>
                <w:rPr>
                  <w:rFonts w:hint="eastAsia" w:ascii="Cambria Math" w:hAnsi="Cambria Math" w:eastAsia="仿宋" w:cs="仿宋"/>
                  <w:sz w:val="32"/>
                  <w:szCs w:val="32"/>
                </w:rPr>
              </m:ctrlPr>
            </m:sSubPr>
            <m:e>
              <m:r>
                <m:rPr>
                  <m:sty m:val="p"/>
                </m:rPr>
                <w:rPr>
                  <w:rFonts w:hint="eastAsia" w:ascii="Cambria Math" w:hAnsi="Cambria Math" w:eastAsia="仿宋" w:cs="仿宋"/>
                  <w:sz w:val="32"/>
                  <w:szCs w:val="32"/>
                </w:rPr>
                <m:t>M</m:t>
              </m:r>
              <m:ctrlPr>
                <w:rPr>
                  <w:rFonts w:hint="eastAsia" w:ascii="Cambria Math" w:hAnsi="Cambria Math" w:eastAsia="仿宋" w:cs="仿宋"/>
                  <w:sz w:val="32"/>
                  <w:szCs w:val="32"/>
                </w:rPr>
              </m:ctrlPr>
            </m:e>
            <m:sub>
              <m:r>
                <m:rPr>
                  <m:sty m:val="p"/>
                </m:rPr>
                <w:rPr>
                  <w:rFonts w:hint="eastAsia" w:ascii="Cambria Math" w:hAnsi="Cambria Math" w:eastAsia="仿宋" w:cs="仿宋"/>
                  <w:sz w:val="32"/>
                  <w:szCs w:val="32"/>
                </w:rPr>
                <m:t>B</m:t>
              </m:r>
              <m:ctrlPr>
                <w:rPr>
                  <w:rFonts w:hint="eastAsia" w:ascii="Cambria Math" w:hAnsi="Cambria Math" w:eastAsia="仿宋" w:cs="仿宋"/>
                  <w:sz w:val="32"/>
                  <w:szCs w:val="32"/>
                </w:rPr>
              </m:ctrlPr>
            </m:sub>
          </m:sSub>
          <m:r>
            <m:rPr>
              <m:sty m:val="p"/>
            </m:rPr>
            <w:rPr>
              <w:rFonts w:hint="eastAsia" w:ascii="Cambria Math" w:hAnsi="Cambria Math" w:eastAsia="仿宋" w:cs="仿宋"/>
              <w:sz w:val="32"/>
              <w:szCs w:val="32"/>
            </w:rPr>
            <m:t>=</m:t>
          </m:r>
          <m:sSub>
            <m:sSubPr>
              <m:ctrlPr>
                <w:rPr>
                  <w:rFonts w:hint="eastAsia" w:ascii="Cambria Math" w:hAnsi="Cambria Math" w:eastAsia="仿宋" w:cs="仿宋"/>
                  <w:sz w:val="32"/>
                  <w:szCs w:val="32"/>
                </w:rPr>
              </m:ctrlPr>
            </m:sSubPr>
            <m:e>
              <m:r>
                <m:rPr>
                  <m:sty m:val="p"/>
                </m:rPr>
                <w:rPr>
                  <w:rFonts w:hint="eastAsia" w:ascii="Cambria Math" w:hAnsi="Cambria Math" w:eastAsia="仿宋" w:cs="仿宋"/>
                  <w:sz w:val="32"/>
                  <w:szCs w:val="32"/>
                </w:rPr>
                <m:t>b</m:t>
              </m:r>
              <m:ctrlPr>
                <w:rPr>
                  <w:rFonts w:hint="eastAsia" w:ascii="Cambria Math" w:hAnsi="Cambria Math" w:eastAsia="仿宋" w:cs="仿宋"/>
                  <w:sz w:val="32"/>
                  <w:szCs w:val="32"/>
                </w:rPr>
              </m:ctrlPr>
            </m:e>
            <m:sub>
              <m:r>
                <m:rPr>
                  <m:sty m:val="p"/>
                </m:rPr>
                <w:rPr>
                  <w:rFonts w:hint="eastAsia" w:ascii="Cambria Math" w:hAnsi="Cambria Math" w:eastAsia="仿宋" w:cs="仿宋"/>
                  <w:sz w:val="32"/>
                  <w:szCs w:val="32"/>
                </w:rPr>
                <m:t>0</m:t>
              </m:r>
              <m:ctrlPr>
                <w:rPr>
                  <w:rFonts w:hint="eastAsia" w:ascii="Cambria Math" w:hAnsi="Cambria Math" w:eastAsia="仿宋" w:cs="仿宋"/>
                  <w:sz w:val="32"/>
                  <w:szCs w:val="32"/>
                </w:rPr>
              </m:ctrlPr>
            </m:sub>
          </m:sSub>
          <m:sSup>
            <m:sSupPr>
              <m:ctrlPr>
                <w:rPr>
                  <w:rFonts w:hint="eastAsia" w:ascii="Cambria Math" w:hAnsi="Cambria Math" w:eastAsia="仿宋" w:cs="仿宋"/>
                  <w:sz w:val="32"/>
                  <w:szCs w:val="32"/>
                </w:rPr>
              </m:ctrlPr>
            </m:sSupPr>
            <m:e>
              <m:r>
                <m:rPr>
                  <m:sty m:val="p"/>
                </m:rPr>
                <w:rPr>
                  <w:rFonts w:hint="eastAsia" w:ascii="Cambria Math" w:hAnsi="Cambria Math" w:eastAsia="仿宋" w:cs="仿宋"/>
                  <w:sz w:val="32"/>
                  <w:szCs w:val="32"/>
                </w:rPr>
                <m:t>D</m:t>
              </m:r>
              <m:ctrlPr>
                <w:rPr>
                  <w:rFonts w:hint="eastAsia" w:ascii="Cambria Math" w:hAnsi="Cambria Math" w:eastAsia="仿宋" w:cs="仿宋"/>
                  <w:sz w:val="32"/>
                  <w:szCs w:val="32"/>
                </w:rPr>
              </m:ctrlPr>
            </m:e>
            <m:sup>
              <m:sSub>
                <m:sSubPr>
                  <m:ctrlPr>
                    <w:rPr>
                      <w:rFonts w:hint="eastAsia" w:ascii="Cambria Math" w:hAnsi="Cambria Math" w:eastAsia="仿宋" w:cs="仿宋"/>
                      <w:sz w:val="32"/>
                      <w:szCs w:val="32"/>
                    </w:rPr>
                  </m:ctrlPr>
                </m:sSubPr>
                <m:e>
                  <m:r>
                    <m:rPr>
                      <m:sty m:val="p"/>
                    </m:rPr>
                    <w:rPr>
                      <w:rFonts w:hint="eastAsia" w:ascii="Cambria Math" w:hAnsi="Cambria Math" w:eastAsia="仿宋" w:cs="仿宋"/>
                      <w:sz w:val="32"/>
                      <w:szCs w:val="32"/>
                    </w:rPr>
                    <m:t>b</m:t>
                  </m:r>
                  <m:ctrlPr>
                    <w:rPr>
                      <w:rFonts w:hint="eastAsia" w:ascii="Cambria Math" w:hAnsi="Cambria Math" w:eastAsia="仿宋" w:cs="仿宋"/>
                      <w:sz w:val="32"/>
                      <w:szCs w:val="32"/>
                    </w:rPr>
                  </m:ctrlPr>
                </m:e>
                <m:sub>
                  <m:r>
                    <m:rPr>
                      <m:sty m:val="p"/>
                    </m:rPr>
                    <w:rPr>
                      <w:rFonts w:hint="eastAsia" w:ascii="Cambria Math" w:hAnsi="Cambria Math" w:eastAsia="仿宋" w:cs="仿宋"/>
                      <w:sz w:val="32"/>
                      <w:szCs w:val="32"/>
                    </w:rPr>
                    <m:t>1</m:t>
                  </m:r>
                  <m:ctrlPr>
                    <w:rPr>
                      <w:rFonts w:hint="eastAsia" w:ascii="Cambria Math" w:hAnsi="Cambria Math" w:eastAsia="仿宋" w:cs="仿宋"/>
                      <w:sz w:val="32"/>
                      <w:szCs w:val="32"/>
                    </w:rPr>
                  </m:ctrlPr>
                </m:sub>
              </m:sSub>
              <m:ctrlPr>
                <w:rPr>
                  <w:rFonts w:hint="eastAsia" w:ascii="Cambria Math" w:hAnsi="Cambria Math" w:eastAsia="仿宋" w:cs="仿宋"/>
                  <w:sz w:val="32"/>
                  <w:szCs w:val="32"/>
                </w:rPr>
              </m:ctrlPr>
            </m:sup>
          </m:sSup>
          <m:sSup>
            <m:sSupPr>
              <m:ctrlPr>
                <w:rPr>
                  <w:rFonts w:hint="eastAsia" w:ascii="Cambria Math" w:hAnsi="Cambria Math" w:eastAsia="仿宋" w:cs="仿宋"/>
                  <w:sz w:val="32"/>
                  <w:szCs w:val="32"/>
                </w:rPr>
              </m:ctrlPr>
            </m:sSupPr>
            <m:e>
              <m:r>
                <m:rPr>
                  <m:sty m:val="p"/>
                </m:rPr>
                <w:rPr>
                  <w:rFonts w:hint="eastAsia" w:ascii="Cambria Math" w:hAnsi="Cambria Math" w:eastAsia="仿宋" w:cs="仿宋"/>
                  <w:sz w:val="32"/>
                  <w:szCs w:val="32"/>
                </w:rPr>
                <m:t>H</m:t>
              </m:r>
              <m:ctrlPr>
                <w:rPr>
                  <w:rFonts w:hint="eastAsia" w:ascii="Cambria Math" w:hAnsi="Cambria Math" w:eastAsia="仿宋" w:cs="仿宋"/>
                  <w:sz w:val="32"/>
                  <w:szCs w:val="32"/>
                </w:rPr>
              </m:ctrlPr>
            </m:e>
            <m:sup>
              <m:sSub>
                <m:sSubPr>
                  <m:ctrlPr>
                    <w:rPr>
                      <w:rFonts w:hint="eastAsia" w:ascii="Cambria Math" w:hAnsi="Cambria Math" w:eastAsia="仿宋" w:cs="仿宋"/>
                      <w:sz w:val="32"/>
                      <w:szCs w:val="32"/>
                    </w:rPr>
                  </m:ctrlPr>
                </m:sSubPr>
                <m:e>
                  <m:r>
                    <m:rPr>
                      <m:sty m:val="p"/>
                    </m:rPr>
                    <w:rPr>
                      <w:rFonts w:hint="eastAsia" w:ascii="Cambria Math" w:hAnsi="Cambria Math" w:eastAsia="仿宋" w:cs="仿宋"/>
                      <w:sz w:val="32"/>
                      <w:szCs w:val="32"/>
                    </w:rPr>
                    <m:t>b</m:t>
                  </m:r>
                  <m:ctrlPr>
                    <w:rPr>
                      <w:rFonts w:hint="eastAsia" w:ascii="Cambria Math" w:hAnsi="Cambria Math" w:eastAsia="仿宋" w:cs="仿宋"/>
                      <w:sz w:val="32"/>
                      <w:szCs w:val="32"/>
                    </w:rPr>
                  </m:ctrlPr>
                </m:e>
                <m:sub>
                  <m:r>
                    <m:rPr>
                      <m:sty m:val="p"/>
                    </m:rPr>
                    <w:rPr>
                      <w:rFonts w:hint="eastAsia" w:ascii="Cambria Math" w:hAnsi="Cambria Math" w:eastAsia="仿宋" w:cs="仿宋"/>
                      <w:sz w:val="32"/>
                      <w:szCs w:val="32"/>
                    </w:rPr>
                    <m:t>2</m:t>
                  </m:r>
                  <m:ctrlPr>
                    <w:rPr>
                      <w:rFonts w:hint="eastAsia" w:ascii="Cambria Math" w:hAnsi="Cambria Math" w:eastAsia="仿宋" w:cs="仿宋"/>
                      <w:sz w:val="32"/>
                      <w:szCs w:val="32"/>
                    </w:rPr>
                  </m:ctrlPr>
                </m:sub>
              </m:sSub>
              <m:ctrlPr>
                <w:rPr>
                  <w:rFonts w:hint="eastAsia" w:ascii="Cambria Math" w:hAnsi="Cambria Math" w:eastAsia="仿宋" w:cs="仿宋"/>
                  <w:sz w:val="32"/>
                  <w:szCs w:val="32"/>
                </w:rPr>
              </m:ctrlPr>
            </m:sup>
          </m:sSup>
        </m:oMath>
      </m:oMathPara>
    </w:p>
    <w:p w14:paraId="031ADC45">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式中：</w:t>
      </w:r>
    </w:p>
    <w:p w14:paraId="1B08A06F">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MA——地上生物量估计值，单位为千克（kg）；</w:t>
      </w:r>
    </w:p>
    <w:p w14:paraId="34AD5DB6">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MB——地下生物量估计值，单位为千克（kg）；</w:t>
      </w:r>
    </w:p>
    <w:p w14:paraId="02C8C500">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D——立木胸径，单位为厘米（cm）；</w:t>
      </w:r>
    </w:p>
    <w:p w14:paraId="26982D32">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H——立木树高，单位为米（m）；</w:t>
      </w:r>
    </w:p>
    <w:p w14:paraId="68C949D1">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a0、a1、a2、b0、b1、b2——模型参数。</w:t>
      </w:r>
    </w:p>
    <w:p w14:paraId="63B5F30F">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相容性生物量模型： 采用非线性联立方程组拟合树干、树枝、树叶、树根及总生物量，确保各组分满足可加性。</w:t>
      </w:r>
    </w:p>
    <w:p w14:paraId="31767E06">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模型参数采用非线性最小二乘法（NLS）进行估计，相容性模型采用非线性联立方程组法求解。</w:t>
      </w:r>
    </w:p>
    <w:p w14:paraId="4CF9F1AC">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jc w:val="left"/>
        <w:textAlignment w:val="auto"/>
        <w:rPr>
          <w:rFonts w:hint="eastAsia" w:ascii="仿宋" w:hAnsi="仿宋" w:eastAsia="仿宋" w:cs="仿宋"/>
          <w:sz w:val="32"/>
          <w:szCs w:val="32"/>
        </w:rPr>
      </w:pPr>
      <w:r>
        <w:rPr>
          <w:rFonts w:hint="eastAsia" w:ascii="仿宋" w:hAnsi="仿宋" w:eastAsia="仿宋" w:cs="仿宋"/>
          <w:sz w:val="32"/>
          <w:szCs w:val="32"/>
        </w:rPr>
        <w:t>3. 模型参数估计结果</w:t>
      </w:r>
    </w:p>
    <w:p w14:paraId="644A8D82">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经参数估计，模型系数如表1—表</w:t>
      </w:r>
      <w:r>
        <w:rPr>
          <w:rFonts w:hint="eastAsia" w:ascii="仿宋" w:hAnsi="仿宋" w:eastAsia="仿宋" w:cs="仿宋"/>
          <w:sz w:val="32"/>
          <w:szCs w:val="32"/>
          <w:lang w:val="en-US" w:eastAsia="zh-CN"/>
        </w:rPr>
        <w:t>6</w:t>
      </w:r>
      <w:r>
        <w:rPr>
          <w:rFonts w:hint="eastAsia" w:ascii="仿宋" w:hAnsi="仿宋" w:eastAsia="仿宋" w:cs="仿宋"/>
          <w:sz w:val="32"/>
          <w:szCs w:val="32"/>
        </w:rPr>
        <w:t>所示：</w:t>
      </w:r>
    </w:p>
    <w:p w14:paraId="43C8CA41">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jc w:val="center"/>
        <w:textAlignment w:val="auto"/>
        <w:rPr>
          <w:rFonts w:hint="eastAsia" w:ascii="仿宋" w:hAnsi="仿宋" w:eastAsia="仿宋" w:cs="仿宋"/>
          <w:sz w:val="32"/>
          <w:szCs w:val="32"/>
        </w:rPr>
      </w:pPr>
      <w:r>
        <w:rPr>
          <w:rFonts w:hint="eastAsia" w:ascii="仿宋" w:hAnsi="仿宋" w:eastAsia="仿宋" w:cs="仿宋"/>
          <w:sz w:val="32"/>
          <w:szCs w:val="32"/>
        </w:rPr>
        <w:t>表1 地上生物量模型参数估计值结果</w:t>
      </w:r>
    </w:p>
    <w:tbl>
      <w:tblPr>
        <w:tblStyle w:val="19"/>
        <w:tblpPr w:leftFromText="180" w:rightFromText="180" w:vertAnchor="text" w:tblpY="1"/>
        <w:tblW w:w="5000" w:type="pct"/>
        <w:tblInd w:w="0" w:type="dxa"/>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951"/>
        <w:gridCol w:w="1961"/>
        <w:gridCol w:w="1943"/>
        <w:gridCol w:w="2001"/>
      </w:tblGrid>
      <w:tr w14:paraId="006A9BD7">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666" w:type="pct"/>
            <w:vMerge w:val="restart"/>
            <w:tcBorders>
              <w:top w:val="single" w:color="auto" w:sz="4" w:space="0"/>
            </w:tcBorders>
            <w:vAlign w:val="center"/>
          </w:tcPr>
          <w:p w14:paraId="7B5096C4">
            <w:pPr>
              <w:widowControl/>
              <w:adjustRightInd w:val="0"/>
              <w:spacing w:after="0" w:line="400" w:lineRule="exact"/>
              <w:jc w:val="center"/>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样本数</w:t>
            </w:r>
          </w:p>
        </w:tc>
        <w:tc>
          <w:tcPr>
            <w:tcW w:w="3333" w:type="pct"/>
            <w:gridSpan w:val="3"/>
            <w:tcBorders>
              <w:top w:val="single" w:color="auto" w:sz="4" w:space="0"/>
            </w:tcBorders>
            <w:vAlign w:val="center"/>
          </w:tcPr>
          <w:p w14:paraId="5DB4E964">
            <w:pPr>
              <w:widowControl/>
              <w:adjustRightInd w:val="0"/>
              <w:spacing w:after="0" w:line="400" w:lineRule="exact"/>
              <w:jc w:val="center"/>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二元模型参数值</w:t>
            </w:r>
          </w:p>
        </w:tc>
      </w:tr>
      <w:tr w14:paraId="01FE914F">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666" w:type="pct"/>
            <w:vMerge w:val="continue"/>
            <w:tcBorders>
              <w:bottom w:val="single" w:color="auto" w:sz="4" w:space="0"/>
            </w:tcBorders>
            <w:vAlign w:val="center"/>
          </w:tcPr>
          <w:p w14:paraId="14E939E9">
            <w:pPr>
              <w:widowControl/>
              <w:adjustRightInd w:val="0"/>
              <w:spacing w:after="0" w:line="400" w:lineRule="exact"/>
              <w:jc w:val="center"/>
              <w:rPr>
                <w:rFonts w:hint="eastAsia" w:ascii="宋体" w:hAnsi="宋体" w:eastAsia="宋体" w:cs="宋体"/>
                <w:kern w:val="2"/>
                <w:sz w:val="18"/>
                <w:szCs w:val="18"/>
              </w:rPr>
            </w:pPr>
          </w:p>
        </w:tc>
        <w:tc>
          <w:tcPr>
            <w:tcW w:w="1107" w:type="pct"/>
            <w:tcBorders>
              <w:bottom w:val="single" w:color="auto" w:sz="4" w:space="0"/>
            </w:tcBorders>
            <w:vAlign w:val="center"/>
          </w:tcPr>
          <w:p w14:paraId="525F58F7">
            <w:pPr>
              <w:widowControl/>
              <w:adjustRightInd w:val="0"/>
              <w:spacing w:after="0" w:line="400" w:lineRule="exact"/>
              <w:jc w:val="center"/>
              <w:rPr>
                <w:rFonts w:hint="eastAsia" w:ascii="宋体" w:hAnsi="宋体" w:eastAsia="宋体" w:cs="宋体"/>
                <w:color w:val="000000"/>
                <w:kern w:val="0"/>
                <w:sz w:val="18"/>
                <w:szCs w:val="18"/>
              </w:rPr>
            </w:pPr>
            <w:r>
              <w:rPr>
                <w:rFonts w:hint="eastAsia" w:ascii="宋体" w:hAnsi="宋体" w:eastAsia="宋体" w:cs="宋体"/>
                <w:i/>
                <w:kern w:val="2"/>
                <w:sz w:val="18"/>
                <w:szCs w:val="18"/>
              </w:rPr>
              <w:t>a</w:t>
            </w:r>
            <w:r>
              <w:rPr>
                <w:rFonts w:hint="eastAsia" w:ascii="宋体" w:hAnsi="宋体" w:eastAsia="宋体" w:cs="宋体"/>
                <w:color w:val="000000"/>
                <w:kern w:val="2"/>
                <w:sz w:val="18"/>
                <w:szCs w:val="18"/>
                <w:vertAlign w:val="subscript"/>
              </w:rPr>
              <w:t>0</w:t>
            </w:r>
          </w:p>
        </w:tc>
        <w:tc>
          <w:tcPr>
            <w:tcW w:w="1097" w:type="pct"/>
            <w:tcBorders>
              <w:bottom w:val="single" w:color="auto" w:sz="4" w:space="0"/>
            </w:tcBorders>
            <w:vAlign w:val="center"/>
          </w:tcPr>
          <w:p w14:paraId="2EE4DF59">
            <w:pPr>
              <w:widowControl/>
              <w:adjustRightInd w:val="0"/>
              <w:spacing w:after="0" w:line="400" w:lineRule="exact"/>
              <w:jc w:val="center"/>
              <w:rPr>
                <w:rFonts w:hint="eastAsia" w:ascii="宋体" w:hAnsi="宋体" w:eastAsia="宋体" w:cs="宋体"/>
                <w:color w:val="000000"/>
                <w:kern w:val="0"/>
                <w:sz w:val="18"/>
                <w:szCs w:val="18"/>
              </w:rPr>
            </w:pPr>
            <w:r>
              <w:rPr>
                <w:rFonts w:hint="eastAsia" w:ascii="宋体" w:hAnsi="宋体" w:eastAsia="宋体" w:cs="宋体"/>
                <w:i/>
                <w:kern w:val="2"/>
                <w:sz w:val="18"/>
                <w:szCs w:val="18"/>
              </w:rPr>
              <w:t>a</w:t>
            </w:r>
            <w:r>
              <w:rPr>
                <w:rFonts w:hint="eastAsia" w:ascii="宋体" w:hAnsi="宋体" w:eastAsia="宋体" w:cs="宋体"/>
                <w:color w:val="000000"/>
                <w:kern w:val="2"/>
                <w:sz w:val="18"/>
                <w:szCs w:val="18"/>
                <w:vertAlign w:val="subscript"/>
              </w:rPr>
              <w:t>1</w:t>
            </w:r>
          </w:p>
        </w:tc>
        <w:tc>
          <w:tcPr>
            <w:tcW w:w="1128" w:type="pct"/>
            <w:tcBorders>
              <w:bottom w:val="single" w:color="auto" w:sz="4" w:space="0"/>
            </w:tcBorders>
            <w:vAlign w:val="center"/>
          </w:tcPr>
          <w:p w14:paraId="1D5932CD">
            <w:pPr>
              <w:widowControl/>
              <w:adjustRightInd w:val="0"/>
              <w:spacing w:after="0" w:line="400" w:lineRule="exact"/>
              <w:jc w:val="center"/>
              <w:rPr>
                <w:rFonts w:hint="eastAsia" w:ascii="宋体" w:hAnsi="宋体" w:eastAsia="宋体" w:cs="宋体"/>
                <w:color w:val="000000"/>
                <w:kern w:val="0"/>
                <w:sz w:val="18"/>
                <w:szCs w:val="18"/>
              </w:rPr>
            </w:pPr>
            <w:r>
              <w:rPr>
                <w:rFonts w:hint="eastAsia" w:ascii="宋体" w:hAnsi="宋体" w:eastAsia="宋体" w:cs="宋体"/>
                <w:i/>
                <w:kern w:val="2"/>
                <w:sz w:val="18"/>
                <w:szCs w:val="18"/>
              </w:rPr>
              <w:t>a</w:t>
            </w:r>
            <w:r>
              <w:rPr>
                <w:rFonts w:hint="eastAsia" w:ascii="宋体" w:hAnsi="宋体" w:eastAsia="宋体" w:cs="宋体"/>
                <w:color w:val="000000"/>
                <w:kern w:val="2"/>
                <w:sz w:val="18"/>
                <w:szCs w:val="18"/>
                <w:vertAlign w:val="subscript"/>
              </w:rPr>
              <w:t>2</w:t>
            </w:r>
          </w:p>
        </w:tc>
      </w:tr>
      <w:tr w14:paraId="00020335">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666" w:type="pct"/>
            <w:vAlign w:val="center"/>
          </w:tcPr>
          <w:p w14:paraId="1E1924F8">
            <w:pPr>
              <w:widowControl/>
              <w:adjustRightInd w:val="0"/>
              <w:spacing w:after="0" w:line="400" w:lineRule="exact"/>
              <w:jc w:val="center"/>
              <w:rPr>
                <w:rFonts w:hint="eastAsia" w:ascii="宋体" w:hAnsi="宋体" w:eastAsia="宋体" w:cs="宋体"/>
                <w:kern w:val="2"/>
                <w:sz w:val="18"/>
                <w:szCs w:val="18"/>
              </w:rPr>
            </w:pPr>
            <w:r>
              <w:rPr>
                <w:rFonts w:hint="eastAsia" w:ascii="宋体" w:hAnsi="宋体" w:eastAsia="宋体" w:cs="宋体"/>
                <w:kern w:val="2"/>
                <w:sz w:val="18"/>
                <w:szCs w:val="18"/>
              </w:rPr>
              <w:t>92</w:t>
            </w:r>
          </w:p>
        </w:tc>
        <w:tc>
          <w:tcPr>
            <w:tcW w:w="1107" w:type="pct"/>
            <w:vAlign w:val="center"/>
          </w:tcPr>
          <w:p w14:paraId="45AC0A73">
            <w:pPr>
              <w:widowControl/>
              <w:adjustRightInd w:val="0"/>
              <w:spacing w:after="0" w:line="400" w:lineRule="exact"/>
              <w:jc w:val="center"/>
              <w:rPr>
                <w:rFonts w:hint="eastAsia" w:ascii="宋体" w:hAnsi="宋体" w:eastAsia="宋体" w:cs="宋体"/>
                <w:kern w:val="2"/>
                <w:sz w:val="18"/>
                <w:szCs w:val="18"/>
              </w:rPr>
            </w:pPr>
            <w:r>
              <w:rPr>
                <w:rFonts w:hint="eastAsia" w:ascii="宋体" w:hAnsi="宋体" w:eastAsia="宋体" w:cs="宋体"/>
                <w:kern w:val="2"/>
                <w:sz w:val="18"/>
                <w:szCs w:val="18"/>
              </w:rPr>
              <w:t>0.06180</w:t>
            </w:r>
          </w:p>
        </w:tc>
        <w:tc>
          <w:tcPr>
            <w:tcW w:w="1097" w:type="pct"/>
            <w:vAlign w:val="center"/>
          </w:tcPr>
          <w:p w14:paraId="7419ABC6">
            <w:pPr>
              <w:widowControl/>
              <w:adjustRightInd w:val="0"/>
              <w:spacing w:after="0" w:line="400" w:lineRule="exact"/>
              <w:jc w:val="center"/>
              <w:rPr>
                <w:rFonts w:hint="eastAsia" w:ascii="宋体" w:hAnsi="宋体" w:eastAsia="宋体" w:cs="宋体"/>
                <w:kern w:val="2"/>
                <w:sz w:val="18"/>
                <w:szCs w:val="18"/>
              </w:rPr>
            </w:pPr>
            <w:r>
              <w:rPr>
                <w:rFonts w:hint="eastAsia" w:ascii="宋体" w:hAnsi="宋体" w:eastAsia="宋体" w:cs="宋体"/>
                <w:kern w:val="2"/>
                <w:sz w:val="18"/>
                <w:szCs w:val="18"/>
              </w:rPr>
              <w:t>2.1460</w:t>
            </w:r>
          </w:p>
        </w:tc>
        <w:tc>
          <w:tcPr>
            <w:tcW w:w="1128" w:type="pct"/>
            <w:vAlign w:val="center"/>
          </w:tcPr>
          <w:p w14:paraId="17DFCE82">
            <w:pPr>
              <w:widowControl/>
              <w:adjustRightInd w:val="0"/>
              <w:spacing w:after="0" w:line="400" w:lineRule="exact"/>
              <w:jc w:val="center"/>
              <w:rPr>
                <w:rFonts w:hint="eastAsia" w:ascii="宋体" w:hAnsi="宋体" w:eastAsia="宋体" w:cs="宋体"/>
                <w:kern w:val="2"/>
                <w:sz w:val="18"/>
                <w:szCs w:val="18"/>
              </w:rPr>
            </w:pPr>
            <w:r>
              <w:rPr>
                <w:rFonts w:hint="eastAsia" w:ascii="宋体" w:hAnsi="宋体" w:eastAsia="宋体" w:cs="宋体"/>
                <w:kern w:val="2"/>
                <w:sz w:val="18"/>
                <w:szCs w:val="18"/>
              </w:rPr>
              <w:t>0.5860</w:t>
            </w:r>
          </w:p>
        </w:tc>
      </w:tr>
    </w:tbl>
    <w:p w14:paraId="6C68C9FD">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jc w:val="center"/>
        <w:textAlignment w:val="auto"/>
        <w:rPr>
          <w:rFonts w:hint="eastAsia" w:ascii="仿宋" w:hAnsi="仿宋" w:eastAsia="仿宋" w:cs="仿宋"/>
          <w:sz w:val="32"/>
          <w:szCs w:val="32"/>
        </w:rPr>
      </w:pPr>
      <w:r>
        <w:rPr>
          <w:rFonts w:hint="eastAsia" w:ascii="仿宋" w:hAnsi="仿宋" w:eastAsia="仿宋" w:cs="仿宋"/>
          <w:sz w:val="32"/>
          <w:szCs w:val="32"/>
        </w:rPr>
        <w:t>表2 地下生物量模型参数估计值结果</w:t>
      </w:r>
    </w:p>
    <w:tbl>
      <w:tblPr>
        <w:tblStyle w:val="19"/>
        <w:tblpPr w:leftFromText="180" w:rightFromText="180" w:vertAnchor="text" w:tblpY="1"/>
        <w:tblW w:w="5000" w:type="pct"/>
        <w:tblInd w:w="0" w:type="dxa"/>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951"/>
        <w:gridCol w:w="1965"/>
        <w:gridCol w:w="1942"/>
        <w:gridCol w:w="1998"/>
      </w:tblGrid>
      <w:tr w14:paraId="3FE18659">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666" w:type="pct"/>
            <w:vMerge w:val="restart"/>
            <w:tcBorders>
              <w:top w:val="single" w:color="auto" w:sz="4" w:space="0"/>
            </w:tcBorders>
            <w:vAlign w:val="center"/>
          </w:tcPr>
          <w:p w14:paraId="3DAEDC64">
            <w:pPr>
              <w:widowControl/>
              <w:adjustRightInd w:val="0"/>
              <w:spacing w:after="0" w:line="400" w:lineRule="exact"/>
              <w:jc w:val="center"/>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样本数</w:t>
            </w:r>
          </w:p>
        </w:tc>
        <w:tc>
          <w:tcPr>
            <w:tcW w:w="3333" w:type="pct"/>
            <w:gridSpan w:val="3"/>
            <w:tcBorders>
              <w:top w:val="single" w:color="auto" w:sz="4" w:space="0"/>
            </w:tcBorders>
            <w:vAlign w:val="center"/>
          </w:tcPr>
          <w:p w14:paraId="7849BCEB">
            <w:pPr>
              <w:widowControl/>
              <w:adjustRightInd w:val="0"/>
              <w:spacing w:after="0" w:line="400" w:lineRule="exact"/>
              <w:jc w:val="center"/>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二元模型参数值</w:t>
            </w:r>
          </w:p>
        </w:tc>
      </w:tr>
      <w:tr w14:paraId="55774381">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666" w:type="pct"/>
            <w:vMerge w:val="continue"/>
            <w:tcBorders>
              <w:bottom w:val="single" w:color="auto" w:sz="4" w:space="0"/>
            </w:tcBorders>
            <w:vAlign w:val="center"/>
          </w:tcPr>
          <w:p w14:paraId="49EBCB4A">
            <w:pPr>
              <w:widowControl/>
              <w:adjustRightInd w:val="0"/>
              <w:spacing w:after="0" w:line="400" w:lineRule="exact"/>
              <w:jc w:val="center"/>
              <w:rPr>
                <w:rFonts w:hint="eastAsia" w:ascii="宋体" w:hAnsi="宋体" w:eastAsia="宋体" w:cs="宋体"/>
                <w:kern w:val="2"/>
                <w:sz w:val="18"/>
                <w:szCs w:val="18"/>
              </w:rPr>
            </w:pPr>
          </w:p>
        </w:tc>
        <w:tc>
          <w:tcPr>
            <w:tcW w:w="1109" w:type="pct"/>
            <w:tcBorders>
              <w:bottom w:val="single" w:color="auto" w:sz="4" w:space="0"/>
            </w:tcBorders>
            <w:vAlign w:val="center"/>
          </w:tcPr>
          <w:p w14:paraId="75E2B03E">
            <w:pPr>
              <w:widowControl/>
              <w:adjustRightInd w:val="0"/>
              <w:spacing w:after="0" w:line="400" w:lineRule="exact"/>
              <w:jc w:val="center"/>
              <w:rPr>
                <w:rFonts w:hint="eastAsia" w:ascii="宋体" w:hAnsi="宋体" w:eastAsia="宋体" w:cs="宋体"/>
                <w:color w:val="000000"/>
                <w:kern w:val="0"/>
                <w:sz w:val="18"/>
                <w:szCs w:val="18"/>
              </w:rPr>
            </w:pPr>
            <w:r>
              <w:rPr>
                <w:rFonts w:hint="eastAsia" w:ascii="宋体" w:hAnsi="宋体" w:eastAsia="宋体" w:cs="宋体"/>
                <w:i/>
                <w:kern w:val="2"/>
                <w:sz w:val="18"/>
                <w:szCs w:val="18"/>
              </w:rPr>
              <w:t>b</w:t>
            </w:r>
            <w:r>
              <w:rPr>
                <w:rFonts w:hint="eastAsia" w:ascii="宋体" w:hAnsi="宋体" w:eastAsia="宋体" w:cs="宋体"/>
                <w:color w:val="000000"/>
                <w:kern w:val="2"/>
                <w:sz w:val="18"/>
                <w:szCs w:val="18"/>
                <w:vertAlign w:val="subscript"/>
              </w:rPr>
              <w:t>0</w:t>
            </w:r>
          </w:p>
        </w:tc>
        <w:tc>
          <w:tcPr>
            <w:tcW w:w="1096" w:type="pct"/>
            <w:tcBorders>
              <w:bottom w:val="single" w:color="auto" w:sz="4" w:space="0"/>
            </w:tcBorders>
            <w:vAlign w:val="center"/>
          </w:tcPr>
          <w:p w14:paraId="14903CFA">
            <w:pPr>
              <w:widowControl/>
              <w:adjustRightInd w:val="0"/>
              <w:spacing w:after="0" w:line="400" w:lineRule="exact"/>
              <w:jc w:val="center"/>
              <w:rPr>
                <w:rFonts w:hint="eastAsia" w:ascii="宋体" w:hAnsi="宋体" w:eastAsia="宋体" w:cs="宋体"/>
                <w:color w:val="000000"/>
                <w:kern w:val="0"/>
                <w:sz w:val="18"/>
                <w:szCs w:val="18"/>
              </w:rPr>
            </w:pPr>
            <w:r>
              <w:rPr>
                <w:rFonts w:hint="eastAsia" w:ascii="宋体" w:hAnsi="宋体" w:eastAsia="宋体" w:cs="宋体"/>
                <w:i/>
                <w:kern w:val="2"/>
                <w:sz w:val="18"/>
                <w:szCs w:val="18"/>
              </w:rPr>
              <w:t>b</w:t>
            </w:r>
            <w:r>
              <w:rPr>
                <w:rFonts w:hint="eastAsia" w:ascii="宋体" w:hAnsi="宋体" w:eastAsia="宋体" w:cs="宋体"/>
                <w:color w:val="000000"/>
                <w:kern w:val="2"/>
                <w:sz w:val="18"/>
                <w:szCs w:val="18"/>
                <w:vertAlign w:val="subscript"/>
              </w:rPr>
              <w:t>1</w:t>
            </w:r>
          </w:p>
        </w:tc>
        <w:tc>
          <w:tcPr>
            <w:tcW w:w="1127" w:type="pct"/>
            <w:tcBorders>
              <w:bottom w:val="single" w:color="auto" w:sz="4" w:space="0"/>
            </w:tcBorders>
            <w:vAlign w:val="center"/>
          </w:tcPr>
          <w:p w14:paraId="7C7FFF6F">
            <w:pPr>
              <w:widowControl/>
              <w:adjustRightInd w:val="0"/>
              <w:spacing w:after="0" w:line="400" w:lineRule="exact"/>
              <w:jc w:val="center"/>
              <w:rPr>
                <w:rFonts w:hint="eastAsia" w:ascii="宋体" w:hAnsi="宋体" w:eastAsia="宋体" w:cs="宋体"/>
                <w:color w:val="000000"/>
                <w:kern w:val="0"/>
                <w:sz w:val="18"/>
                <w:szCs w:val="18"/>
              </w:rPr>
            </w:pPr>
            <w:r>
              <w:rPr>
                <w:rFonts w:hint="eastAsia" w:ascii="宋体" w:hAnsi="宋体" w:eastAsia="宋体" w:cs="宋体"/>
                <w:i/>
                <w:kern w:val="2"/>
                <w:sz w:val="18"/>
                <w:szCs w:val="18"/>
              </w:rPr>
              <w:t>b</w:t>
            </w:r>
            <w:r>
              <w:rPr>
                <w:rFonts w:hint="eastAsia" w:ascii="宋体" w:hAnsi="宋体" w:eastAsia="宋体" w:cs="宋体"/>
                <w:color w:val="000000"/>
                <w:kern w:val="2"/>
                <w:sz w:val="18"/>
                <w:szCs w:val="18"/>
                <w:vertAlign w:val="subscript"/>
              </w:rPr>
              <w:t>2</w:t>
            </w:r>
          </w:p>
        </w:tc>
      </w:tr>
      <w:tr w14:paraId="79CF6882">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666" w:type="pct"/>
            <w:vAlign w:val="center"/>
          </w:tcPr>
          <w:p w14:paraId="5B658135">
            <w:pPr>
              <w:widowControl/>
              <w:adjustRightInd w:val="0"/>
              <w:spacing w:after="0" w:line="400" w:lineRule="exact"/>
              <w:jc w:val="center"/>
              <w:rPr>
                <w:rFonts w:hint="eastAsia" w:ascii="宋体" w:hAnsi="宋体" w:eastAsia="宋体" w:cs="宋体"/>
                <w:kern w:val="2"/>
                <w:sz w:val="18"/>
                <w:szCs w:val="18"/>
              </w:rPr>
            </w:pPr>
            <w:r>
              <w:rPr>
                <w:rFonts w:hint="eastAsia" w:ascii="宋体" w:hAnsi="宋体" w:eastAsia="宋体" w:cs="宋体"/>
                <w:kern w:val="2"/>
                <w:sz w:val="18"/>
                <w:szCs w:val="18"/>
              </w:rPr>
              <w:t>68</w:t>
            </w:r>
          </w:p>
        </w:tc>
        <w:tc>
          <w:tcPr>
            <w:tcW w:w="1109" w:type="pct"/>
            <w:vAlign w:val="center"/>
          </w:tcPr>
          <w:p w14:paraId="601AA3D2">
            <w:pPr>
              <w:widowControl/>
              <w:adjustRightInd w:val="0"/>
              <w:spacing w:after="0" w:line="400" w:lineRule="exact"/>
              <w:jc w:val="center"/>
              <w:rPr>
                <w:rFonts w:hint="eastAsia" w:ascii="宋体" w:hAnsi="宋体" w:eastAsia="宋体" w:cs="宋体"/>
                <w:kern w:val="2"/>
                <w:sz w:val="18"/>
                <w:szCs w:val="18"/>
              </w:rPr>
            </w:pPr>
            <w:r>
              <w:rPr>
                <w:rFonts w:hint="eastAsia" w:ascii="宋体" w:hAnsi="宋体" w:eastAsia="宋体" w:cs="宋体"/>
                <w:kern w:val="2"/>
                <w:sz w:val="18"/>
                <w:szCs w:val="18"/>
              </w:rPr>
              <w:t>0.05240</w:t>
            </w:r>
          </w:p>
        </w:tc>
        <w:tc>
          <w:tcPr>
            <w:tcW w:w="1096" w:type="pct"/>
            <w:vAlign w:val="center"/>
          </w:tcPr>
          <w:p w14:paraId="790B99C2">
            <w:pPr>
              <w:widowControl/>
              <w:adjustRightInd w:val="0"/>
              <w:spacing w:after="0" w:line="400" w:lineRule="exact"/>
              <w:jc w:val="center"/>
              <w:rPr>
                <w:rFonts w:hint="eastAsia" w:ascii="宋体" w:hAnsi="宋体" w:eastAsia="宋体" w:cs="宋体"/>
                <w:kern w:val="2"/>
                <w:sz w:val="18"/>
                <w:szCs w:val="18"/>
              </w:rPr>
            </w:pPr>
            <w:r>
              <w:rPr>
                <w:rFonts w:hint="eastAsia" w:ascii="宋体" w:hAnsi="宋体" w:eastAsia="宋体" w:cs="宋体"/>
                <w:kern w:val="2"/>
                <w:sz w:val="18"/>
                <w:szCs w:val="18"/>
              </w:rPr>
              <w:t>2.4020</w:t>
            </w:r>
          </w:p>
        </w:tc>
        <w:tc>
          <w:tcPr>
            <w:tcW w:w="1127" w:type="pct"/>
            <w:vAlign w:val="center"/>
          </w:tcPr>
          <w:p w14:paraId="4D16ABF3">
            <w:pPr>
              <w:widowControl/>
              <w:adjustRightInd w:val="0"/>
              <w:spacing w:after="0" w:line="400" w:lineRule="exact"/>
              <w:jc w:val="center"/>
              <w:rPr>
                <w:rFonts w:hint="eastAsia" w:ascii="宋体" w:hAnsi="宋体" w:eastAsia="宋体" w:cs="宋体"/>
                <w:kern w:val="2"/>
                <w:sz w:val="18"/>
                <w:szCs w:val="18"/>
              </w:rPr>
            </w:pPr>
            <w:r>
              <w:rPr>
                <w:rFonts w:hint="eastAsia" w:ascii="宋体" w:hAnsi="宋体" w:eastAsia="宋体" w:cs="宋体"/>
                <w:kern w:val="2"/>
                <w:sz w:val="18"/>
                <w:szCs w:val="18"/>
              </w:rPr>
              <w:t>-0.1810</w:t>
            </w:r>
          </w:p>
        </w:tc>
      </w:tr>
    </w:tbl>
    <w:p w14:paraId="1DB35832">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jc w:val="center"/>
        <w:textAlignment w:val="auto"/>
        <w:rPr>
          <w:rFonts w:hint="eastAsia" w:ascii="仿宋" w:hAnsi="仿宋" w:eastAsia="仿宋" w:cs="仿宋"/>
          <w:sz w:val="32"/>
          <w:szCs w:val="32"/>
        </w:rPr>
      </w:pPr>
      <w:r>
        <w:rPr>
          <w:rFonts w:hint="eastAsia" w:ascii="仿宋" w:hAnsi="仿宋" w:eastAsia="仿宋" w:cs="仿宋"/>
          <w:sz w:val="32"/>
          <w:szCs w:val="32"/>
        </w:rPr>
        <w:t>表3 相容性生物量模型参数估计值结果</w:t>
      </w:r>
    </w:p>
    <w:p w14:paraId="156EC9E1">
      <w:pPr>
        <w:pStyle w:val="3"/>
        <w:rPr>
          <w:rFonts w:hint="eastAsia"/>
        </w:rPr>
      </w:pPr>
    </w:p>
    <w:tbl>
      <w:tblPr>
        <w:tblStyle w:val="19"/>
        <w:tblpPr w:leftFromText="180" w:rightFromText="180" w:vertAnchor="text" w:tblpY="1"/>
        <w:tblW w:w="4999" w:type="pct"/>
        <w:tblInd w:w="0" w:type="dxa"/>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634"/>
        <w:gridCol w:w="892"/>
        <w:gridCol w:w="892"/>
        <w:gridCol w:w="893"/>
        <w:gridCol w:w="893"/>
        <w:gridCol w:w="893"/>
        <w:gridCol w:w="893"/>
        <w:gridCol w:w="964"/>
        <w:gridCol w:w="900"/>
      </w:tblGrid>
      <w:tr w14:paraId="000EB28B">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923" w:type="pct"/>
            <w:vMerge w:val="restart"/>
            <w:tcBorders>
              <w:top w:val="single" w:color="auto" w:sz="4" w:space="0"/>
            </w:tcBorders>
            <w:vAlign w:val="center"/>
          </w:tcPr>
          <w:p w14:paraId="23064DB5">
            <w:pPr>
              <w:widowControl/>
              <w:adjustRightInd w:val="0"/>
              <w:spacing w:after="0" w:line="400" w:lineRule="exact"/>
              <w:jc w:val="center"/>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样本数</w:t>
            </w:r>
          </w:p>
        </w:tc>
        <w:tc>
          <w:tcPr>
            <w:tcW w:w="4076" w:type="pct"/>
            <w:gridSpan w:val="8"/>
            <w:tcBorders>
              <w:top w:val="single" w:color="auto" w:sz="4" w:space="0"/>
              <w:bottom w:val="single" w:color="auto" w:sz="4" w:space="0"/>
            </w:tcBorders>
            <w:vAlign w:val="center"/>
          </w:tcPr>
          <w:p w14:paraId="43DFE987">
            <w:pPr>
              <w:widowControl/>
              <w:adjustRightInd w:val="0"/>
              <w:spacing w:after="0" w:line="400" w:lineRule="exact"/>
              <w:jc w:val="center"/>
              <w:rPr>
                <w:rFonts w:hint="eastAsia" w:ascii="宋体" w:hAnsi="宋体" w:eastAsia="宋体" w:cs="宋体"/>
                <w:color w:val="000000"/>
                <w:kern w:val="0"/>
                <w:sz w:val="18"/>
                <w:szCs w:val="18"/>
              </w:rPr>
            </w:pPr>
            <w:r>
              <w:rPr>
                <w:rFonts w:hint="eastAsia" w:ascii="宋体" w:hAnsi="宋体" w:eastAsia="宋体" w:cs="宋体"/>
                <w:color w:val="000000"/>
                <w:kern w:val="0"/>
                <w:sz w:val="18"/>
                <w:szCs w:val="18"/>
              </w:rPr>
              <w:t>参数</w:t>
            </w:r>
          </w:p>
        </w:tc>
      </w:tr>
      <w:tr w14:paraId="320D9AAD">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923" w:type="pct"/>
            <w:vMerge w:val="continue"/>
            <w:tcBorders>
              <w:bottom w:val="single" w:color="auto" w:sz="4" w:space="0"/>
            </w:tcBorders>
            <w:vAlign w:val="center"/>
          </w:tcPr>
          <w:p w14:paraId="4EE43172">
            <w:pPr>
              <w:widowControl/>
              <w:adjustRightInd w:val="0"/>
              <w:spacing w:after="0" w:line="400" w:lineRule="exact"/>
              <w:jc w:val="center"/>
              <w:rPr>
                <w:rFonts w:hint="eastAsia" w:ascii="宋体" w:hAnsi="宋体" w:eastAsia="宋体" w:cs="宋体"/>
                <w:color w:val="000000"/>
                <w:kern w:val="0"/>
                <w:sz w:val="18"/>
                <w:szCs w:val="18"/>
              </w:rPr>
            </w:pPr>
          </w:p>
        </w:tc>
        <w:tc>
          <w:tcPr>
            <w:tcW w:w="504" w:type="pct"/>
            <w:tcBorders>
              <w:top w:val="single" w:color="auto" w:sz="4" w:space="0"/>
              <w:bottom w:val="single" w:color="auto" w:sz="4" w:space="0"/>
            </w:tcBorders>
            <w:vAlign w:val="center"/>
          </w:tcPr>
          <w:p w14:paraId="2349D00A">
            <w:pPr>
              <w:widowControl/>
              <w:adjustRightInd w:val="0"/>
              <w:spacing w:after="0" w:line="400" w:lineRule="exact"/>
              <w:jc w:val="center"/>
              <w:rPr>
                <w:rFonts w:hint="eastAsia" w:ascii="宋体" w:hAnsi="宋体" w:eastAsia="宋体" w:cs="宋体"/>
                <w:color w:val="000000"/>
                <w:kern w:val="0"/>
                <w:sz w:val="18"/>
                <w:szCs w:val="18"/>
              </w:rPr>
            </w:pPr>
            <w:r>
              <w:rPr>
                <w:rFonts w:hint="eastAsia" w:ascii="宋体" w:hAnsi="宋体" w:eastAsia="宋体" w:cs="宋体"/>
                <w:color w:val="000000"/>
                <w:kern w:val="2"/>
                <w:sz w:val="18"/>
                <w:szCs w:val="18"/>
              </w:rPr>
              <w:t>c</w:t>
            </w:r>
            <w:r>
              <w:rPr>
                <w:rFonts w:hint="eastAsia" w:ascii="宋体" w:hAnsi="宋体" w:eastAsia="宋体" w:cs="宋体"/>
                <w:color w:val="000000"/>
                <w:kern w:val="2"/>
                <w:sz w:val="18"/>
                <w:szCs w:val="18"/>
                <w:vertAlign w:val="subscript"/>
              </w:rPr>
              <w:t>0</w:t>
            </w:r>
          </w:p>
        </w:tc>
        <w:tc>
          <w:tcPr>
            <w:tcW w:w="504" w:type="pct"/>
            <w:tcBorders>
              <w:top w:val="single" w:color="auto" w:sz="4" w:space="0"/>
              <w:bottom w:val="single" w:color="auto" w:sz="4" w:space="0"/>
            </w:tcBorders>
            <w:vAlign w:val="center"/>
          </w:tcPr>
          <w:p w14:paraId="61BEC6C7">
            <w:pPr>
              <w:widowControl/>
              <w:adjustRightInd w:val="0"/>
              <w:spacing w:after="0" w:line="400" w:lineRule="exact"/>
              <w:jc w:val="center"/>
              <w:rPr>
                <w:rFonts w:hint="eastAsia" w:ascii="宋体" w:hAnsi="宋体" w:eastAsia="宋体" w:cs="宋体"/>
                <w:color w:val="000000"/>
                <w:kern w:val="0"/>
                <w:sz w:val="18"/>
                <w:szCs w:val="18"/>
              </w:rPr>
            </w:pPr>
            <w:r>
              <w:rPr>
                <w:rFonts w:hint="eastAsia" w:ascii="宋体" w:hAnsi="宋体" w:eastAsia="宋体" w:cs="宋体"/>
                <w:color w:val="000000"/>
                <w:kern w:val="2"/>
                <w:sz w:val="18"/>
                <w:szCs w:val="18"/>
              </w:rPr>
              <w:t>e</w:t>
            </w:r>
            <w:r>
              <w:rPr>
                <w:rFonts w:hint="eastAsia" w:ascii="宋体" w:hAnsi="宋体" w:eastAsia="宋体" w:cs="宋体"/>
                <w:color w:val="000000"/>
                <w:kern w:val="2"/>
                <w:sz w:val="18"/>
                <w:szCs w:val="18"/>
                <w:vertAlign w:val="subscript"/>
              </w:rPr>
              <w:t>0</w:t>
            </w:r>
          </w:p>
        </w:tc>
        <w:tc>
          <w:tcPr>
            <w:tcW w:w="504" w:type="pct"/>
            <w:tcBorders>
              <w:top w:val="single" w:color="auto" w:sz="4" w:space="0"/>
              <w:bottom w:val="single" w:color="auto" w:sz="4" w:space="0"/>
            </w:tcBorders>
            <w:vAlign w:val="center"/>
          </w:tcPr>
          <w:p w14:paraId="6EDCB481">
            <w:pPr>
              <w:widowControl/>
              <w:adjustRightInd w:val="0"/>
              <w:spacing w:after="0" w:line="400" w:lineRule="exact"/>
              <w:jc w:val="center"/>
              <w:rPr>
                <w:rFonts w:hint="eastAsia" w:ascii="宋体" w:hAnsi="宋体" w:eastAsia="宋体" w:cs="宋体"/>
                <w:color w:val="000000"/>
                <w:kern w:val="2"/>
                <w:sz w:val="18"/>
                <w:szCs w:val="18"/>
              </w:rPr>
            </w:pPr>
            <w:r>
              <w:rPr>
                <w:rFonts w:hint="eastAsia" w:ascii="宋体" w:hAnsi="宋体" w:eastAsia="宋体" w:cs="宋体"/>
                <w:color w:val="000000"/>
                <w:kern w:val="2"/>
                <w:sz w:val="18"/>
                <w:szCs w:val="18"/>
              </w:rPr>
              <w:t>r</w:t>
            </w:r>
            <w:r>
              <w:rPr>
                <w:rFonts w:hint="eastAsia" w:ascii="宋体" w:hAnsi="宋体" w:eastAsia="宋体" w:cs="宋体"/>
                <w:color w:val="000000"/>
                <w:kern w:val="2"/>
                <w:sz w:val="18"/>
                <w:szCs w:val="18"/>
                <w:vertAlign w:val="subscript"/>
              </w:rPr>
              <w:t>1</w:t>
            </w:r>
          </w:p>
        </w:tc>
        <w:tc>
          <w:tcPr>
            <w:tcW w:w="504" w:type="pct"/>
            <w:tcBorders>
              <w:top w:val="single" w:color="auto" w:sz="4" w:space="0"/>
              <w:bottom w:val="single" w:color="auto" w:sz="4" w:space="0"/>
            </w:tcBorders>
            <w:vAlign w:val="center"/>
          </w:tcPr>
          <w:p w14:paraId="2405AE81">
            <w:pPr>
              <w:widowControl/>
              <w:adjustRightInd w:val="0"/>
              <w:spacing w:after="0" w:line="400" w:lineRule="exact"/>
              <w:jc w:val="center"/>
              <w:rPr>
                <w:rFonts w:hint="eastAsia" w:ascii="宋体" w:hAnsi="宋体" w:eastAsia="宋体" w:cs="宋体"/>
                <w:color w:val="000000"/>
                <w:kern w:val="2"/>
                <w:sz w:val="18"/>
                <w:szCs w:val="18"/>
              </w:rPr>
            </w:pPr>
            <w:r>
              <w:rPr>
                <w:rFonts w:hint="eastAsia" w:ascii="宋体" w:hAnsi="宋体" w:eastAsia="宋体" w:cs="宋体"/>
                <w:color w:val="000000"/>
                <w:kern w:val="2"/>
                <w:sz w:val="18"/>
                <w:szCs w:val="18"/>
              </w:rPr>
              <w:t>r</w:t>
            </w:r>
            <w:r>
              <w:rPr>
                <w:rFonts w:hint="eastAsia" w:ascii="宋体" w:hAnsi="宋体" w:eastAsia="宋体" w:cs="宋体"/>
                <w:color w:val="000000"/>
                <w:kern w:val="2"/>
                <w:sz w:val="18"/>
                <w:szCs w:val="18"/>
                <w:vertAlign w:val="subscript"/>
              </w:rPr>
              <w:t>2</w:t>
            </w:r>
          </w:p>
        </w:tc>
        <w:tc>
          <w:tcPr>
            <w:tcW w:w="504" w:type="pct"/>
            <w:tcBorders>
              <w:top w:val="single" w:color="auto" w:sz="4" w:space="0"/>
              <w:bottom w:val="single" w:color="auto" w:sz="4" w:space="0"/>
            </w:tcBorders>
            <w:vAlign w:val="center"/>
          </w:tcPr>
          <w:p w14:paraId="0904453C">
            <w:pPr>
              <w:widowControl/>
              <w:adjustRightInd w:val="0"/>
              <w:spacing w:after="0" w:line="400" w:lineRule="exact"/>
              <w:jc w:val="center"/>
              <w:rPr>
                <w:rFonts w:hint="eastAsia" w:ascii="宋体" w:hAnsi="宋体" w:eastAsia="宋体" w:cs="宋体"/>
                <w:color w:val="000000"/>
                <w:kern w:val="2"/>
                <w:sz w:val="18"/>
                <w:szCs w:val="18"/>
              </w:rPr>
            </w:pPr>
            <w:r>
              <w:rPr>
                <w:rFonts w:hint="eastAsia" w:ascii="宋体" w:hAnsi="宋体" w:eastAsia="宋体" w:cs="宋体"/>
                <w:color w:val="000000"/>
                <w:kern w:val="2"/>
                <w:sz w:val="18"/>
                <w:szCs w:val="18"/>
              </w:rPr>
              <w:t>r</w:t>
            </w:r>
            <w:r>
              <w:rPr>
                <w:rFonts w:hint="eastAsia" w:ascii="宋体" w:hAnsi="宋体" w:eastAsia="宋体" w:cs="宋体"/>
                <w:color w:val="000000"/>
                <w:kern w:val="2"/>
                <w:sz w:val="18"/>
                <w:szCs w:val="18"/>
                <w:vertAlign w:val="subscript"/>
              </w:rPr>
              <w:t>3</w:t>
            </w:r>
          </w:p>
        </w:tc>
        <w:tc>
          <w:tcPr>
            <w:tcW w:w="504" w:type="pct"/>
            <w:tcBorders>
              <w:top w:val="single" w:color="auto" w:sz="4" w:space="0"/>
              <w:bottom w:val="single" w:color="auto" w:sz="4" w:space="0"/>
            </w:tcBorders>
            <w:vAlign w:val="center"/>
          </w:tcPr>
          <w:p w14:paraId="03E0D562">
            <w:pPr>
              <w:widowControl/>
              <w:adjustRightInd w:val="0"/>
              <w:spacing w:after="0" w:line="400" w:lineRule="exact"/>
              <w:jc w:val="center"/>
              <w:rPr>
                <w:rFonts w:hint="eastAsia" w:ascii="宋体" w:hAnsi="宋体" w:eastAsia="宋体" w:cs="宋体"/>
                <w:color w:val="000000"/>
                <w:kern w:val="2"/>
                <w:sz w:val="18"/>
                <w:szCs w:val="18"/>
              </w:rPr>
            </w:pPr>
            <w:r>
              <w:rPr>
                <w:rFonts w:hint="eastAsia" w:ascii="宋体" w:hAnsi="宋体" w:eastAsia="宋体" w:cs="宋体"/>
                <w:color w:val="000000"/>
                <w:kern w:val="2"/>
                <w:sz w:val="18"/>
                <w:szCs w:val="18"/>
              </w:rPr>
              <w:t>k</w:t>
            </w:r>
            <w:r>
              <w:rPr>
                <w:rFonts w:hint="eastAsia" w:ascii="宋体" w:hAnsi="宋体" w:eastAsia="宋体" w:cs="宋体"/>
                <w:color w:val="000000"/>
                <w:kern w:val="2"/>
                <w:sz w:val="18"/>
                <w:szCs w:val="18"/>
                <w:vertAlign w:val="subscript"/>
              </w:rPr>
              <w:t>1</w:t>
            </w:r>
          </w:p>
        </w:tc>
        <w:tc>
          <w:tcPr>
            <w:tcW w:w="544" w:type="pct"/>
            <w:tcBorders>
              <w:top w:val="single" w:color="auto" w:sz="4" w:space="0"/>
              <w:bottom w:val="single" w:color="auto" w:sz="4" w:space="0"/>
            </w:tcBorders>
            <w:vAlign w:val="center"/>
          </w:tcPr>
          <w:p w14:paraId="6366C81F">
            <w:pPr>
              <w:widowControl/>
              <w:adjustRightInd w:val="0"/>
              <w:spacing w:after="0" w:line="400" w:lineRule="exact"/>
              <w:jc w:val="center"/>
              <w:rPr>
                <w:rFonts w:hint="eastAsia" w:ascii="宋体" w:hAnsi="宋体" w:eastAsia="宋体" w:cs="宋体"/>
                <w:color w:val="000000"/>
                <w:kern w:val="2"/>
                <w:sz w:val="18"/>
                <w:szCs w:val="18"/>
              </w:rPr>
            </w:pPr>
            <w:r>
              <w:rPr>
                <w:rFonts w:hint="eastAsia" w:ascii="宋体" w:hAnsi="宋体" w:eastAsia="宋体" w:cs="宋体"/>
                <w:color w:val="000000"/>
                <w:kern w:val="2"/>
                <w:sz w:val="18"/>
                <w:szCs w:val="18"/>
              </w:rPr>
              <w:t>k</w:t>
            </w:r>
            <w:r>
              <w:rPr>
                <w:rFonts w:hint="eastAsia" w:ascii="宋体" w:hAnsi="宋体" w:eastAsia="宋体" w:cs="宋体"/>
                <w:color w:val="000000"/>
                <w:kern w:val="2"/>
                <w:sz w:val="18"/>
                <w:szCs w:val="18"/>
                <w:vertAlign w:val="subscript"/>
              </w:rPr>
              <w:t>2</w:t>
            </w:r>
          </w:p>
        </w:tc>
        <w:tc>
          <w:tcPr>
            <w:tcW w:w="506" w:type="pct"/>
            <w:tcBorders>
              <w:top w:val="single" w:color="auto" w:sz="4" w:space="0"/>
              <w:bottom w:val="single" w:color="auto" w:sz="4" w:space="0"/>
            </w:tcBorders>
            <w:vAlign w:val="center"/>
          </w:tcPr>
          <w:p w14:paraId="79183DF3">
            <w:pPr>
              <w:widowControl/>
              <w:adjustRightInd w:val="0"/>
              <w:spacing w:after="0" w:line="400" w:lineRule="exact"/>
              <w:jc w:val="center"/>
              <w:rPr>
                <w:rFonts w:hint="eastAsia" w:ascii="宋体" w:hAnsi="宋体" w:eastAsia="宋体" w:cs="宋体"/>
                <w:color w:val="000000"/>
                <w:kern w:val="2"/>
                <w:sz w:val="18"/>
                <w:szCs w:val="18"/>
              </w:rPr>
            </w:pPr>
            <w:r>
              <w:rPr>
                <w:rFonts w:hint="eastAsia" w:ascii="宋体" w:hAnsi="宋体" w:eastAsia="宋体" w:cs="宋体"/>
                <w:color w:val="000000"/>
                <w:kern w:val="2"/>
                <w:sz w:val="18"/>
                <w:szCs w:val="18"/>
              </w:rPr>
              <w:t>k</w:t>
            </w:r>
            <w:r>
              <w:rPr>
                <w:rFonts w:hint="eastAsia" w:ascii="宋体" w:hAnsi="宋体" w:eastAsia="宋体" w:cs="宋体"/>
                <w:color w:val="000000"/>
                <w:kern w:val="2"/>
                <w:sz w:val="18"/>
                <w:szCs w:val="18"/>
                <w:vertAlign w:val="subscript"/>
              </w:rPr>
              <w:t>3</w:t>
            </w:r>
          </w:p>
        </w:tc>
      </w:tr>
      <w:tr w14:paraId="176C7682">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923" w:type="pct"/>
            <w:vAlign w:val="center"/>
          </w:tcPr>
          <w:p w14:paraId="4EF39B04">
            <w:pPr>
              <w:widowControl/>
              <w:adjustRightInd w:val="0"/>
              <w:spacing w:after="0" w:line="400" w:lineRule="exact"/>
              <w:jc w:val="center"/>
              <w:rPr>
                <w:rFonts w:hint="eastAsia" w:ascii="宋体" w:hAnsi="宋体" w:eastAsia="宋体" w:cs="宋体"/>
                <w:kern w:val="2"/>
                <w:sz w:val="18"/>
                <w:szCs w:val="18"/>
              </w:rPr>
            </w:pPr>
            <w:r>
              <w:rPr>
                <w:rFonts w:hint="eastAsia" w:ascii="宋体" w:hAnsi="宋体" w:eastAsia="宋体" w:cs="宋体"/>
                <w:kern w:val="2"/>
                <w:sz w:val="18"/>
                <w:szCs w:val="18"/>
              </w:rPr>
              <w:t>55</w:t>
            </w:r>
          </w:p>
        </w:tc>
        <w:tc>
          <w:tcPr>
            <w:tcW w:w="504" w:type="pct"/>
            <w:vAlign w:val="center"/>
          </w:tcPr>
          <w:p w14:paraId="728EBCD2">
            <w:pPr>
              <w:widowControl w:val="0"/>
              <w:adjustRightInd w:val="0"/>
              <w:spacing w:after="0" w:line="400" w:lineRule="exact"/>
              <w:jc w:val="center"/>
              <w:rPr>
                <w:rFonts w:hint="eastAsia" w:ascii="宋体" w:hAnsi="宋体" w:eastAsia="宋体" w:cs="宋体"/>
                <w:kern w:val="2"/>
                <w:sz w:val="18"/>
                <w:szCs w:val="18"/>
              </w:rPr>
            </w:pPr>
            <w:r>
              <w:rPr>
                <w:rFonts w:hint="eastAsia" w:ascii="宋体" w:hAnsi="宋体" w:eastAsia="宋体" w:cs="宋体"/>
                <w:kern w:val="2"/>
                <w:sz w:val="18"/>
                <w:szCs w:val="18"/>
              </w:rPr>
              <w:t>0.1080</w:t>
            </w:r>
          </w:p>
        </w:tc>
        <w:tc>
          <w:tcPr>
            <w:tcW w:w="504" w:type="pct"/>
            <w:vAlign w:val="center"/>
          </w:tcPr>
          <w:p w14:paraId="68EEB25B">
            <w:pPr>
              <w:widowControl w:val="0"/>
              <w:adjustRightInd w:val="0"/>
              <w:spacing w:after="0" w:line="400" w:lineRule="exact"/>
              <w:jc w:val="center"/>
              <w:rPr>
                <w:rFonts w:hint="eastAsia" w:ascii="宋体" w:hAnsi="宋体" w:eastAsia="宋体" w:cs="宋体"/>
                <w:kern w:val="2"/>
                <w:sz w:val="18"/>
                <w:szCs w:val="18"/>
              </w:rPr>
            </w:pPr>
            <w:r>
              <w:rPr>
                <w:rFonts w:hint="eastAsia" w:ascii="宋体" w:hAnsi="宋体" w:eastAsia="宋体" w:cs="宋体"/>
                <w:kern w:val="2"/>
                <w:sz w:val="18"/>
                <w:szCs w:val="18"/>
              </w:rPr>
              <w:t>2.4960</w:t>
            </w:r>
          </w:p>
        </w:tc>
        <w:tc>
          <w:tcPr>
            <w:tcW w:w="504" w:type="pct"/>
            <w:vAlign w:val="center"/>
          </w:tcPr>
          <w:p w14:paraId="283D46D2">
            <w:pPr>
              <w:widowControl w:val="0"/>
              <w:adjustRightInd w:val="0"/>
              <w:spacing w:after="0" w:line="400" w:lineRule="exact"/>
              <w:jc w:val="center"/>
              <w:rPr>
                <w:rFonts w:hint="eastAsia" w:ascii="宋体" w:hAnsi="宋体" w:eastAsia="宋体" w:cs="宋体"/>
                <w:kern w:val="2"/>
                <w:sz w:val="18"/>
                <w:szCs w:val="18"/>
              </w:rPr>
            </w:pPr>
            <w:r>
              <w:rPr>
                <w:rFonts w:hint="eastAsia" w:ascii="宋体" w:hAnsi="宋体" w:eastAsia="宋体" w:cs="宋体"/>
                <w:kern w:val="2"/>
                <w:sz w:val="18"/>
                <w:szCs w:val="18"/>
              </w:rPr>
              <w:t>0.2140</w:t>
            </w:r>
          </w:p>
        </w:tc>
        <w:tc>
          <w:tcPr>
            <w:tcW w:w="504" w:type="pct"/>
            <w:vAlign w:val="center"/>
          </w:tcPr>
          <w:p w14:paraId="51D2A022">
            <w:pPr>
              <w:widowControl w:val="0"/>
              <w:adjustRightInd w:val="0"/>
              <w:spacing w:after="0" w:line="400" w:lineRule="exact"/>
              <w:jc w:val="center"/>
              <w:rPr>
                <w:rFonts w:hint="eastAsia" w:ascii="宋体" w:hAnsi="宋体" w:eastAsia="宋体" w:cs="宋体"/>
                <w:kern w:val="2"/>
                <w:sz w:val="18"/>
                <w:szCs w:val="18"/>
              </w:rPr>
            </w:pPr>
            <w:r>
              <w:rPr>
                <w:rFonts w:hint="eastAsia" w:ascii="宋体" w:hAnsi="宋体" w:eastAsia="宋体" w:cs="宋体"/>
                <w:kern w:val="2"/>
                <w:sz w:val="18"/>
                <w:szCs w:val="18"/>
              </w:rPr>
              <w:t>0.0448</w:t>
            </w:r>
          </w:p>
        </w:tc>
        <w:tc>
          <w:tcPr>
            <w:tcW w:w="504" w:type="pct"/>
            <w:vAlign w:val="center"/>
          </w:tcPr>
          <w:p w14:paraId="18561AE3">
            <w:pPr>
              <w:widowControl w:val="0"/>
              <w:adjustRightInd w:val="0"/>
              <w:spacing w:after="0" w:line="400" w:lineRule="exact"/>
              <w:jc w:val="center"/>
              <w:rPr>
                <w:rFonts w:hint="eastAsia" w:ascii="宋体" w:hAnsi="宋体" w:eastAsia="宋体" w:cs="宋体"/>
                <w:kern w:val="2"/>
                <w:sz w:val="18"/>
                <w:szCs w:val="18"/>
              </w:rPr>
            </w:pPr>
            <w:r>
              <w:rPr>
                <w:rFonts w:hint="eastAsia" w:ascii="宋体" w:hAnsi="宋体" w:eastAsia="宋体" w:cs="宋体"/>
                <w:kern w:val="2"/>
                <w:sz w:val="18"/>
                <w:szCs w:val="18"/>
              </w:rPr>
              <w:t>0.1710</w:t>
            </w:r>
          </w:p>
        </w:tc>
        <w:tc>
          <w:tcPr>
            <w:tcW w:w="504" w:type="pct"/>
            <w:vAlign w:val="center"/>
          </w:tcPr>
          <w:p w14:paraId="3A522479">
            <w:pPr>
              <w:widowControl w:val="0"/>
              <w:adjustRightInd w:val="0"/>
              <w:spacing w:after="0" w:line="400" w:lineRule="exact"/>
              <w:jc w:val="center"/>
              <w:rPr>
                <w:rFonts w:hint="eastAsia" w:ascii="宋体" w:hAnsi="宋体" w:eastAsia="宋体" w:cs="宋体"/>
                <w:kern w:val="2"/>
                <w:sz w:val="18"/>
                <w:szCs w:val="18"/>
              </w:rPr>
            </w:pPr>
            <w:r>
              <w:rPr>
                <w:rFonts w:hint="eastAsia" w:ascii="宋体" w:hAnsi="宋体" w:eastAsia="宋体" w:cs="宋体"/>
                <w:kern w:val="2"/>
                <w:sz w:val="18"/>
                <w:szCs w:val="18"/>
              </w:rPr>
              <w:t>0.3650</w:t>
            </w:r>
          </w:p>
        </w:tc>
        <w:tc>
          <w:tcPr>
            <w:tcW w:w="544" w:type="pct"/>
            <w:vAlign w:val="center"/>
          </w:tcPr>
          <w:p w14:paraId="7C4DFDA9">
            <w:pPr>
              <w:widowControl w:val="0"/>
              <w:adjustRightInd w:val="0"/>
              <w:spacing w:after="0" w:line="400" w:lineRule="exact"/>
              <w:jc w:val="center"/>
              <w:rPr>
                <w:rFonts w:hint="eastAsia" w:ascii="宋体" w:hAnsi="宋体" w:eastAsia="宋体" w:cs="宋体"/>
                <w:kern w:val="2"/>
                <w:sz w:val="18"/>
                <w:szCs w:val="18"/>
              </w:rPr>
            </w:pPr>
            <w:r>
              <w:rPr>
                <w:rFonts w:hint="eastAsia" w:ascii="宋体" w:hAnsi="宋体" w:eastAsia="宋体" w:cs="宋体"/>
                <w:kern w:val="2"/>
                <w:sz w:val="18"/>
                <w:szCs w:val="18"/>
              </w:rPr>
              <w:t>-0.4750</w:t>
            </w:r>
          </w:p>
        </w:tc>
        <w:tc>
          <w:tcPr>
            <w:tcW w:w="506" w:type="pct"/>
            <w:vAlign w:val="center"/>
          </w:tcPr>
          <w:p w14:paraId="57093614">
            <w:pPr>
              <w:widowControl w:val="0"/>
              <w:adjustRightInd w:val="0"/>
              <w:spacing w:after="0" w:line="400" w:lineRule="exact"/>
              <w:jc w:val="center"/>
              <w:rPr>
                <w:rFonts w:hint="eastAsia" w:ascii="宋体" w:hAnsi="宋体" w:eastAsia="宋体" w:cs="宋体"/>
                <w:kern w:val="2"/>
                <w:sz w:val="18"/>
                <w:szCs w:val="18"/>
              </w:rPr>
            </w:pPr>
            <w:r>
              <w:rPr>
                <w:rFonts w:hint="eastAsia" w:ascii="宋体" w:hAnsi="宋体" w:eastAsia="宋体" w:cs="宋体"/>
                <w:kern w:val="2"/>
                <w:sz w:val="18"/>
                <w:szCs w:val="18"/>
              </w:rPr>
              <w:t>0.2180</w:t>
            </w:r>
          </w:p>
        </w:tc>
      </w:tr>
    </w:tbl>
    <w:p w14:paraId="12D2C5B4">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jc w:val="center"/>
        <w:textAlignment w:val="auto"/>
        <w:rPr>
          <w:rFonts w:hint="eastAsia" w:ascii="仿宋" w:hAnsi="仿宋" w:eastAsia="仿宋" w:cs="仿宋"/>
          <w:sz w:val="32"/>
          <w:szCs w:val="32"/>
        </w:rPr>
      </w:pPr>
      <w:r>
        <w:rPr>
          <w:rFonts w:hint="eastAsia" w:ascii="仿宋" w:hAnsi="仿宋" w:eastAsia="仿宋" w:cs="仿宋"/>
          <w:sz w:val="32"/>
          <w:szCs w:val="32"/>
        </w:rPr>
        <w:t>表4 地上生物量模型的评价指标</w:t>
      </w:r>
    </w:p>
    <w:tbl>
      <w:tblPr>
        <w:tblStyle w:val="19"/>
        <w:tblW w:w="5000" w:type="pct"/>
        <w:jc w:val="center"/>
        <w:tblLayout w:type="autofit"/>
        <w:tblCellMar>
          <w:top w:w="0" w:type="dxa"/>
          <w:left w:w="108" w:type="dxa"/>
          <w:bottom w:w="0" w:type="dxa"/>
          <w:right w:w="108" w:type="dxa"/>
        </w:tblCellMar>
      </w:tblPr>
      <w:tblGrid>
        <w:gridCol w:w="1640"/>
        <w:gridCol w:w="1273"/>
        <w:gridCol w:w="1599"/>
        <w:gridCol w:w="1335"/>
        <w:gridCol w:w="1662"/>
        <w:gridCol w:w="1347"/>
      </w:tblGrid>
      <w:tr w14:paraId="229198A6">
        <w:tblPrEx>
          <w:tblCellMar>
            <w:top w:w="0" w:type="dxa"/>
            <w:left w:w="108" w:type="dxa"/>
            <w:bottom w:w="0" w:type="dxa"/>
            <w:right w:w="108" w:type="dxa"/>
          </w:tblCellMar>
        </w:tblPrEx>
        <w:trPr>
          <w:trHeight w:val="285" w:hRule="atLeast"/>
          <w:jc w:val="center"/>
        </w:trPr>
        <w:tc>
          <w:tcPr>
            <w:tcW w:w="926" w:type="pct"/>
            <w:vMerge w:val="restart"/>
            <w:tcBorders>
              <w:top w:val="single" w:color="auto" w:sz="8" w:space="0"/>
              <w:left w:val="single" w:color="auto" w:sz="2" w:space="0"/>
              <w:right w:val="single" w:color="000000" w:sz="8" w:space="0"/>
            </w:tcBorders>
            <w:vAlign w:val="center"/>
          </w:tcPr>
          <w:p w14:paraId="27A6ADCA">
            <w:pPr>
              <w:widowControl w:val="0"/>
              <w:adjustRightInd w:val="0"/>
              <w:spacing w:after="0" w:line="400" w:lineRule="exact"/>
              <w:jc w:val="center"/>
              <w:rPr>
                <w:rFonts w:hint="eastAsia" w:ascii="宋体" w:hAnsi="宋体" w:eastAsia="宋体" w:cs="Times New Roman"/>
                <w:kern w:val="0"/>
                <w:sz w:val="18"/>
                <w:szCs w:val="18"/>
              </w:rPr>
            </w:pPr>
            <w:r>
              <w:rPr>
                <w:rFonts w:hint="eastAsia" w:ascii="宋体" w:hAnsi="宋体" w:eastAsia="宋体" w:cs="Times New Roman"/>
                <w:kern w:val="0"/>
                <w:sz w:val="18"/>
                <w:szCs w:val="18"/>
              </w:rPr>
              <w:t>样本数</w:t>
            </w:r>
          </w:p>
        </w:tc>
        <w:tc>
          <w:tcPr>
            <w:tcW w:w="4074" w:type="pct"/>
            <w:gridSpan w:val="5"/>
            <w:tcBorders>
              <w:top w:val="single" w:color="auto" w:sz="8" w:space="0"/>
              <w:left w:val="single" w:color="auto" w:sz="2" w:space="0"/>
              <w:bottom w:val="single" w:color="auto" w:sz="2" w:space="0"/>
              <w:right w:val="single" w:color="000000" w:sz="8" w:space="0"/>
            </w:tcBorders>
            <w:vAlign w:val="center"/>
          </w:tcPr>
          <w:p w14:paraId="4065F5C0">
            <w:pPr>
              <w:widowControl w:val="0"/>
              <w:adjustRightInd w:val="0"/>
              <w:spacing w:after="0" w:line="400" w:lineRule="exact"/>
              <w:jc w:val="center"/>
              <w:rPr>
                <w:rFonts w:hint="eastAsia" w:ascii="宋体" w:hAnsi="宋体" w:eastAsia="宋体" w:cs="Times New Roman"/>
                <w:kern w:val="0"/>
                <w:sz w:val="18"/>
                <w:szCs w:val="18"/>
              </w:rPr>
            </w:pPr>
            <w:r>
              <w:rPr>
                <w:rFonts w:hint="eastAsia" w:ascii="宋体" w:hAnsi="宋体" w:eastAsia="宋体" w:cs="Times New Roman"/>
                <w:kern w:val="0"/>
                <w:sz w:val="18"/>
                <w:szCs w:val="18"/>
              </w:rPr>
              <w:t>模型检验指标</w:t>
            </w:r>
          </w:p>
        </w:tc>
      </w:tr>
      <w:tr w14:paraId="067358F3">
        <w:tblPrEx>
          <w:tblCellMar>
            <w:top w:w="0" w:type="dxa"/>
            <w:left w:w="108" w:type="dxa"/>
            <w:bottom w:w="0" w:type="dxa"/>
            <w:right w:w="108" w:type="dxa"/>
          </w:tblCellMar>
        </w:tblPrEx>
        <w:trPr>
          <w:trHeight w:val="360" w:hRule="atLeast"/>
          <w:jc w:val="center"/>
        </w:trPr>
        <w:tc>
          <w:tcPr>
            <w:tcW w:w="926" w:type="pct"/>
            <w:vMerge w:val="continue"/>
            <w:tcBorders>
              <w:left w:val="single" w:color="auto" w:sz="2" w:space="0"/>
              <w:bottom w:val="single" w:color="auto" w:sz="8" w:space="0"/>
              <w:right w:val="single" w:color="000000" w:sz="8" w:space="0"/>
            </w:tcBorders>
            <w:vAlign w:val="center"/>
          </w:tcPr>
          <w:p w14:paraId="4699E03C">
            <w:pPr>
              <w:widowControl w:val="0"/>
              <w:adjustRightInd w:val="0"/>
              <w:spacing w:after="0" w:line="400" w:lineRule="exact"/>
              <w:jc w:val="center"/>
              <w:rPr>
                <w:rFonts w:hint="eastAsia" w:ascii="宋体" w:hAnsi="宋体" w:eastAsia="宋体" w:cs="Times New Roman"/>
                <w:kern w:val="0"/>
                <w:sz w:val="18"/>
                <w:szCs w:val="18"/>
              </w:rPr>
            </w:pPr>
          </w:p>
        </w:tc>
        <w:tc>
          <w:tcPr>
            <w:tcW w:w="719" w:type="pct"/>
            <w:tcBorders>
              <w:top w:val="single" w:color="auto" w:sz="2" w:space="0"/>
              <w:left w:val="single" w:color="000000" w:sz="8" w:space="0"/>
              <w:bottom w:val="single" w:color="auto" w:sz="8" w:space="0"/>
              <w:right w:val="single" w:color="auto" w:sz="2" w:space="0"/>
            </w:tcBorders>
            <w:vAlign w:val="center"/>
          </w:tcPr>
          <w:p w14:paraId="183C4606">
            <w:pPr>
              <w:widowControl w:val="0"/>
              <w:adjustRightInd w:val="0"/>
              <w:spacing w:after="0" w:line="400" w:lineRule="exact"/>
              <w:jc w:val="center"/>
              <w:rPr>
                <w:rFonts w:hint="eastAsia" w:ascii="宋体" w:hAnsi="宋体" w:eastAsia="宋体" w:cs="Times New Roman"/>
                <w:kern w:val="0"/>
                <w:sz w:val="18"/>
                <w:szCs w:val="18"/>
              </w:rPr>
            </w:pPr>
            <w:r>
              <w:rPr>
                <w:rFonts w:ascii="宋体" w:hAnsi="宋体" w:eastAsia="宋体" w:cs="Times New Roman"/>
                <w:kern w:val="0"/>
                <w:sz w:val="18"/>
                <w:szCs w:val="18"/>
              </w:rPr>
              <w:t>MPE</w:t>
            </w:r>
          </w:p>
        </w:tc>
        <w:tc>
          <w:tcPr>
            <w:tcW w:w="903" w:type="pct"/>
            <w:tcBorders>
              <w:top w:val="single" w:color="auto" w:sz="2" w:space="0"/>
              <w:left w:val="single" w:color="auto" w:sz="2" w:space="0"/>
              <w:bottom w:val="single" w:color="auto" w:sz="8" w:space="0"/>
              <w:right w:val="single" w:color="auto" w:sz="2" w:space="0"/>
            </w:tcBorders>
            <w:vAlign w:val="center"/>
          </w:tcPr>
          <w:p w14:paraId="5B57210E">
            <w:pPr>
              <w:widowControl w:val="0"/>
              <w:adjustRightInd w:val="0"/>
              <w:spacing w:after="0" w:line="400" w:lineRule="exact"/>
              <w:jc w:val="center"/>
              <w:rPr>
                <w:rFonts w:hint="eastAsia" w:ascii="宋体" w:hAnsi="宋体" w:eastAsia="宋体" w:cs="Times New Roman"/>
                <w:kern w:val="0"/>
                <w:sz w:val="18"/>
                <w:szCs w:val="18"/>
              </w:rPr>
            </w:pPr>
            <w:r>
              <w:rPr>
                <w:rFonts w:ascii="宋体" w:hAnsi="宋体" w:eastAsia="宋体" w:cs="Times New Roman"/>
                <w:kern w:val="0"/>
                <w:sz w:val="18"/>
                <w:szCs w:val="18"/>
              </w:rPr>
              <w:t>MPE</w:t>
            </w:r>
            <w:r>
              <w:rPr>
                <w:rFonts w:hint="eastAsia" w:ascii="宋体" w:hAnsi="宋体" w:eastAsia="宋体" w:cs="Times New Roman"/>
                <w:kern w:val="0"/>
                <w:sz w:val="18"/>
                <w:szCs w:val="18"/>
              </w:rPr>
              <w:t>（</w:t>
            </w:r>
            <w:r>
              <w:rPr>
                <w:rFonts w:ascii="宋体" w:hAnsi="宋体" w:eastAsia="宋体" w:cs="Times New Roman"/>
                <w:kern w:val="0"/>
                <w:sz w:val="18"/>
                <w:szCs w:val="18"/>
              </w:rPr>
              <w:t>%</w:t>
            </w:r>
            <w:r>
              <w:rPr>
                <w:rFonts w:hint="eastAsia" w:ascii="宋体" w:hAnsi="宋体" w:eastAsia="宋体" w:cs="Times New Roman"/>
                <w:kern w:val="0"/>
                <w:sz w:val="18"/>
                <w:szCs w:val="18"/>
              </w:rPr>
              <w:t>）</w:t>
            </w:r>
          </w:p>
        </w:tc>
        <w:tc>
          <w:tcPr>
            <w:tcW w:w="754" w:type="pct"/>
            <w:tcBorders>
              <w:top w:val="single" w:color="auto" w:sz="2" w:space="0"/>
              <w:left w:val="single" w:color="auto" w:sz="2" w:space="0"/>
              <w:bottom w:val="single" w:color="auto" w:sz="8" w:space="0"/>
              <w:right w:val="single" w:color="auto" w:sz="2" w:space="0"/>
            </w:tcBorders>
            <w:vAlign w:val="center"/>
          </w:tcPr>
          <w:p w14:paraId="389BFDDD">
            <w:pPr>
              <w:widowControl w:val="0"/>
              <w:adjustRightInd w:val="0"/>
              <w:spacing w:after="0" w:line="400" w:lineRule="exact"/>
              <w:jc w:val="center"/>
              <w:rPr>
                <w:rFonts w:hint="eastAsia" w:ascii="宋体" w:hAnsi="宋体" w:eastAsia="宋体" w:cs="Times New Roman"/>
                <w:kern w:val="0"/>
                <w:sz w:val="18"/>
                <w:szCs w:val="18"/>
              </w:rPr>
            </w:pPr>
            <w:r>
              <w:rPr>
                <w:rFonts w:ascii="宋体" w:hAnsi="宋体" w:eastAsia="宋体" w:cs="Times New Roman"/>
                <w:kern w:val="0"/>
                <w:sz w:val="18"/>
                <w:szCs w:val="18"/>
              </w:rPr>
              <w:t>MAE</w:t>
            </w:r>
          </w:p>
        </w:tc>
        <w:tc>
          <w:tcPr>
            <w:tcW w:w="938" w:type="pct"/>
            <w:tcBorders>
              <w:top w:val="single" w:color="auto" w:sz="2" w:space="0"/>
              <w:left w:val="single" w:color="auto" w:sz="2" w:space="0"/>
              <w:bottom w:val="single" w:color="auto" w:sz="8" w:space="0"/>
              <w:right w:val="single" w:color="auto" w:sz="2" w:space="0"/>
            </w:tcBorders>
            <w:vAlign w:val="center"/>
          </w:tcPr>
          <w:p w14:paraId="5366D0B7">
            <w:pPr>
              <w:widowControl w:val="0"/>
              <w:adjustRightInd w:val="0"/>
              <w:spacing w:after="0" w:line="400" w:lineRule="exact"/>
              <w:jc w:val="center"/>
              <w:rPr>
                <w:rFonts w:hint="eastAsia" w:ascii="宋体" w:hAnsi="宋体" w:eastAsia="宋体" w:cs="Times New Roman"/>
                <w:kern w:val="0"/>
                <w:sz w:val="18"/>
                <w:szCs w:val="18"/>
              </w:rPr>
            </w:pPr>
            <w:r>
              <w:rPr>
                <w:rFonts w:ascii="宋体" w:hAnsi="宋体" w:eastAsia="宋体" w:cs="Times New Roman"/>
                <w:kern w:val="0"/>
                <w:sz w:val="18"/>
                <w:szCs w:val="18"/>
              </w:rPr>
              <w:t>MAE</w:t>
            </w:r>
            <w:r>
              <w:rPr>
                <w:rFonts w:hint="eastAsia" w:ascii="宋体" w:hAnsi="宋体" w:eastAsia="宋体" w:cs="Times New Roman"/>
                <w:kern w:val="0"/>
                <w:sz w:val="18"/>
                <w:szCs w:val="18"/>
              </w:rPr>
              <w:t>（</w:t>
            </w:r>
            <w:r>
              <w:rPr>
                <w:rFonts w:ascii="宋体" w:hAnsi="宋体" w:eastAsia="宋体" w:cs="Times New Roman"/>
                <w:kern w:val="0"/>
                <w:sz w:val="18"/>
                <w:szCs w:val="18"/>
              </w:rPr>
              <w:t>%</w:t>
            </w:r>
            <w:r>
              <w:rPr>
                <w:rFonts w:hint="eastAsia" w:ascii="宋体" w:hAnsi="宋体" w:eastAsia="宋体" w:cs="Times New Roman"/>
                <w:kern w:val="0"/>
                <w:sz w:val="18"/>
                <w:szCs w:val="18"/>
              </w:rPr>
              <w:t>）</w:t>
            </w:r>
          </w:p>
        </w:tc>
        <w:tc>
          <w:tcPr>
            <w:tcW w:w="760" w:type="pct"/>
            <w:tcBorders>
              <w:top w:val="single" w:color="auto" w:sz="2" w:space="0"/>
              <w:left w:val="single" w:color="auto" w:sz="2" w:space="0"/>
              <w:bottom w:val="single" w:color="auto" w:sz="8" w:space="0"/>
              <w:right w:val="single" w:color="auto" w:sz="8" w:space="0"/>
            </w:tcBorders>
            <w:vAlign w:val="center"/>
          </w:tcPr>
          <w:p w14:paraId="2A61D69F">
            <w:pPr>
              <w:widowControl w:val="0"/>
              <w:adjustRightInd w:val="0"/>
              <w:spacing w:after="0" w:line="400" w:lineRule="exact"/>
              <w:jc w:val="center"/>
              <w:rPr>
                <w:rFonts w:hint="eastAsia" w:ascii="宋体" w:hAnsi="宋体" w:eastAsia="宋体" w:cs="Times New Roman"/>
                <w:i/>
                <w:iCs/>
                <w:kern w:val="0"/>
                <w:sz w:val="18"/>
                <w:szCs w:val="18"/>
              </w:rPr>
            </w:pPr>
            <w:r>
              <w:rPr>
                <w:rFonts w:hint="eastAsia" w:ascii="宋体" w:hAnsi="宋体" w:eastAsia="宋体" w:cs="Times New Roman"/>
                <w:kern w:val="0"/>
                <w:sz w:val="18"/>
                <w:szCs w:val="18"/>
              </w:rPr>
              <w:t>精度（</w:t>
            </w:r>
            <w:r>
              <w:rPr>
                <w:rFonts w:ascii="宋体" w:hAnsi="宋体" w:eastAsia="宋体" w:cs="Times New Roman"/>
                <w:kern w:val="0"/>
                <w:sz w:val="18"/>
                <w:szCs w:val="18"/>
              </w:rPr>
              <w:t>%</w:t>
            </w:r>
            <w:r>
              <w:rPr>
                <w:rFonts w:hint="eastAsia" w:ascii="宋体" w:hAnsi="宋体" w:eastAsia="宋体" w:cs="Times New Roman"/>
                <w:kern w:val="0"/>
                <w:sz w:val="18"/>
                <w:szCs w:val="18"/>
              </w:rPr>
              <w:t>）</w:t>
            </w:r>
          </w:p>
        </w:tc>
      </w:tr>
      <w:tr w14:paraId="745D552F">
        <w:tblPrEx>
          <w:tblCellMar>
            <w:top w:w="0" w:type="dxa"/>
            <w:left w:w="108" w:type="dxa"/>
            <w:bottom w:w="0" w:type="dxa"/>
            <w:right w:w="108" w:type="dxa"/>
          </w:tblCellMar>
        </w:tblPrEx>
        <w:trPr>
          <w:trHeight w:val="285" w:hRule="atLeast"/>
          <w:jc w:val="center"/>
        </w:trPr>
        <w:tc>
          <w:tcPr>
            <w:tcW w:w="926" w:type="pct"/>
            <w:tcBorders>
              <w:top w:val="nil"/>
              <w:left w:val="single" w:color="auto" w:sz="2" w:space="0"/>
              <w:bottom w:val="single" w:color="auto" w:sz="2" w:space="0"/>
              <w:right w:val="single" w:color="auto" w:sz="2" w:space="0"/>
            </w:tcBorders>
            <w:vAlign w:val="center"/>
          </w:tcPr>
          <w:p w14:paraId="122804D3">
            <w:pPr>
              <w:widowControl w:val="0"/>
              <w:adjustRightInd w:val="0"/>
              <w:spacing w:after="0" w:line="400" w:lineRule="exact"/>
              <w:jc w:val="center"/>
              <w:rPr>
                <w:rFonts w:hint="default" w:ascii="宋体" w:hAnsi="宋体" w:eastAsia="宋体" w:cs="Times New Roman"/>
                <w:kern w:val="0"/>
                <w:sz w:val="18"/>
                <w:szCs w:val="18"/>
                <w:lang w:val="en-US" w:eastAsia="zh-CN"/>
              </w:rPr>
            </w:pPr>
            <w:r>
              <w:rPr>
                <w:rFonts w:hint="eastAsia" w:ascii="宋体" w:hAnsi="宋体" w:eastAsia="宋体" w:cs="Times New Roman"/>
                <w:kern w:val="0"/>
                <w:sz w:val="18"/>
                <w:szCs w:val="18"/>
                <w:lang w:val="en-US" w:eastAsia="zh-CN"/>
              </w:rPr>
              <w:t>92</w:t>
            </w:r>
          </w:p>
        </w:tc>
        <w:tc>
          <w:tcPr>
            <w:tcW w:w="719" w:type="pct"/>
            <w:tcBorders>
              <w:top w:val="nil"/>
              <w:left w:val="single" w:color="auto" w:sz="2" w:space="0"/>
              <w:bottom w:val="single" w:color="auto" w:sz="2" w:space="0"/>
              <w:right w:val="single" w:color="auto" w:sz="2" w:space="0"/>
            </w:tcBorders>
            <w:vAlign w:val="center"/>
          </w:tcPr>
          <w:p w14:paraId="244DBC04">
            <w:pPr>
              <w:widowControl w:val="0"/>
              <w:adjustRightInd w:val="0"/>
              <w:spacing w:after="0" w:line="400" w:lineRule="exact"/>
              <w:jc w:val="center"/>
              <w:rPr>
                <w:rFonts w:hint="default" w:ascii="宋体" w:hAnsi="宋体" w:eastAsia="宋体" w:cs="Times New Roman"/>
                <w:kern w:val="0"/>
                <w:sz w:val="18"/>
                <w:szCs w:val="18"/>
                <w:lang w:val="en-US" w:eastAsia="zh-CN"/>
              </w:rPr>
            </w:pPr>
            <w:r>
              <w:rPr>
                <w:rFonts w:hint="eastAsia" w:ascii="宋体" w:hAnsi="宋体" w:eastAsia="宋体" w:cs="Times New Roman"/>
                <w:kern w:val="0"/>
                <w:sz w:val="18"/>
                <w:szCs w:val="18"/>
                <w:lang w:val="en-US" w:eastAsia="zh-CN"/>
              </w:rPr>
              <w:t>2.85</w:t>
            </w:r>
          </w:p>
        </w:tc>
        <w:tc>
          <w:tcPr>
            <w:tcW w:w="903" w:type="pct"/>
            <w:tcBorders>
              <w:top w:val="nil"/>
              <w:left w:val="single" w:color="auto" w:sz="2" w:space="0"/>
              <w:bottom w:val="single" w:color="auto" w:sz="2" w:space="0"/>
              <w:right w:val="single" w:color="auto" w:sz="2" w:space="0"/>
            </w:tcBorders>
            <w:vAlign w:val="center"/>
          </w:tcPr>
          <w:p w14:paraId="5532A31E">
            <w:pPr>
              <w:widowControl w:val="0"/>
              <w:adjustRightInd w:val="0"/>
              <w:spacing w:after="0" w:line="400" w:lineRule="exact"/>
              <w:jc w:val="center"/>
              <w:rPr>
                <w:rFonts w:hint="default" w:ascii="宋体" w:hAnsi="宋体" w:eastAsia="宋体" w:cs="Times New Roman"/>
                <w:kern w:val="0"/>
                <w:sz w:val="18"/>
                <w:szCs w:val="18"/>
                <w:lang w:val="en-US" w:eastAsia="zh-CN"/>
              </w:rPr>
            </w:pPr>
            <w:r>
              <w:rPr>
                <w:rFonts w:hint="eastAsia" w:ascii="宋体" w:hAnsi="宋体" w:eastAsia="宋体" w:cs="Times New Roman"/>
                <w:kern w:val="0"/>
                <w:sz w:val="18"/>
                <w:szCs w:val="18"/>
                <w:lang w:val="en-US" w:eastAsia="zh-CN"/>
              </w:rPr>
              <w:t>5.80</w:t>
            </w:r>
          </w:p>
        </w:tc>
        <w:tc>
          <w:tcPr>
            <w:tcW w:w="754" w:type="pct"/>
            <w:tcBorders>
              <w:top w:val="nil"/>
              <w:left w:val="single" w:color="auto" w:sz="2" w:space="0"/>
              <w:bottom w:val="single" w:color="auto" w:sz="2" w:space="0"/>
              <w:right w:val="single" w:color="auto" w:sz="2" w:space="0"/>
            </w:tcBorders>
            <w:vAlign w:val="center"/>
          </w:tcPr>
          <w:p w14:paraId="12A8A28C">
            <w:pPr>
              <w:widowControl w:val="0"/>
              <w:adjustRightInd w:val="0"/>
              <w:spacing w:after="0" w:line="400" w:lineRule="exact"/>
              <w:jc w:val="center"/>
              <w:rPr>
                <w:rFonts w:hint="default" w:ascii="宋体" w:hAnsi="宋体" w:eastAsia="宋体" w:cs="Times New Roman"/>
                <w:kern w:val="0"/>
                <w:sz w:val="18"/>
                <w:szCs w:val="18"/>
                <w:lang w:val="en-US" w:eastAsia="zh-CN"/>
              </w:rPr>
            </w:pPr>
            <w:r>
              <w:rPr>
                <w:rFonts w:hint="eastAsia" w:ascii="宋体" w:hAnsi="宋体" w:eastAsia="宋体" w:cs="Times New Roman"/>
                <w:kern w:val="0"/>
                <w:sz w:val="18"/>
                <w:szCs w:val="18"/>
                <w:lang w:val="en-US" w:eastAsia="zh-CN"/>
              </w:rPr>
              <w:t>-1.47</w:t>
            </w:r>
          </w:p>
        </w:tc>
        <w:tc>
          <w:tcPr>
            <w:tcW w:w="938" w:type="pct"/>
            <w:tcBorders>
              <w:top w:val="nil"/>
              <w:left w:val="single" w:color="auto" w:sz="2" w:space="0"/>
              <w:bottom w:val="single" w:color="auto" w:sz="2" w:space="0"/>
              <w:right w:val="single" w:color="auto" w:sz="2" w:space="0"/>
            </w:tcBorders>
            <w:vAlign w:val="center"/>
          </w:tcPr>
          <w:p w14:paraId="6A7096DE">
            <w:pPr>
              <w:widowControl w:val="0"/>
              <w:adjustRightInd w:val="0"/>
              <w:spacing w:after="0" w:line="400" w:lineRule="exact"/>
              <w:jc w:val="center"/>
              <w:rPr>
                <w:rFonts w:hint="default" w:ascii="宋体" w:hAnsi="宋体" w:eastAsia="宋体" w:cs="Times New Roman"/>
                <w:kern w:val="0"/>
                <w:sz w:val="18"/>
                <w:szCs w:val="18"/>
                <w:lang w:val="en-US" w:eastAsia="zh-CN"/>
              </w:rPr>
            </w:pPr>
            <w:r>
              <w:rPr>
                <w:rFonts w:hint="eastAsia" w:ascii="宋体" w:hAnsi="宋体" w:eastAsia="宋体" w:cs="Times New Roman"/>
                <w:kern w:val="0"/>
                <w:sz w:val="18"/>
                <w:szCs w:val="18"/>
                <w:lang w:val="en-US" w:eastAsia="zh-CN"/>
              </w:rPr>
              <w:t>10.26</w:t>
            </w:r>
          </w:p>
        </w:tc>
        <w:tc>
          <w:tcPr>
            <w:tcW w:w="760" w:type="pct"/>
            <w:tcBorders>
              <w:top w:val="nil"/>
              <w:left w:val="single" w:color="auto" w:sz="2" w:space="0"/>
              <w:bottom w:val="single" w:color="auto" w:sz="2" w:space="0"/>
              <w:right w:val="single" w:color="auto" w:sz="8" w:space="0"/>
            </w:tcBorders>
            <w:vAlign w:val="center"/>
          </w:tcPr>
          <w:p w14:paraId="7C58C3D2">
            <w:pPr>
              <w:widowControl w:val="0"/>
              <w:adjustRightInd w:val="0"/>
              <w:spacing w:after="0" w:line="400" w:lineRule="exact"/>
              <w:jc w:val="center"/>
              <w:rPr>
                <w:rFonts w:hint="default" w:ascii="宋体" w:hAnsi="宋体" w:eastAsia="宋体" w:cs="Times New Roman"/>
                <w:kern w:val="0"/>
                <w:sz w:val="18"/>
                <w:szCs w:val="18"/>
                <w:lang w:val="en-US" w:eastAsia="zh-CN"/>
              </w:rPr>
            </w:pPr>
            <w:r>
              <w:rPr>
                <w:rFonts w:hint="eastAsia" w:ascii="宋体" w:hAnsi="宋体" w:eastAsia="宋体" w:cs="Times New Roman"/>
                <w:kern w:val="0"/>
                <w:sz w:val="18"/>
                <w:szCs w:val="18"/>
                <w:lang w:val="en-US" w:eastAsia="zh-CN"/>
              </w:rPr>
              <w:t>91.0</w:t>
            </w:r>
          </w:p>
        </w:tc>
      </w:tr>
    </w:tbl>
    <w:p w14:paraId="13D91943">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jc w:val="left"/>
        <w:textAlignment w:val="auto"/>
        <w:rPr>
          <w:rFonts w:hint="eastAsia" w:ascii="仿宋" w:hAnsi="仿宋" w:eastAsia="仿宋" w:cs="仿宋"/>
          <w:sz w:val="32"/>
          <w:szCs w:val="32"/>
        </w:rPr>
      </w:pPr>
      <w:r>
        <w:rPr>
          <w:rFonts w:hint="eastAsia" w:ascii="仿宋" w:hAnsi="仿宋" w:eastAsia="仿宋" w:cs="仿宋"/>
          <w:sz w:val="32"/>
          <w:szCs w:val="32"/>
        </w:rPr>
        <w:t>表5 地下生物量模型的评价指标</w:t>
      </w:r>
    </w:p>
    <w:tbl>
      <w:tblPr>
        <w:tblStyle w:val="19"/>
        <w:tblW w:w="5000" w:type="pct"/>
        <w:jc w:val="center"/>
        <w:tblLayout w:type="autofit"/>
        <w:tblCellMar>
          <w:top w:w="0" w:type="dxa"/>
          <w:left w:w="108" w:type="dxa"/>
          <w:bottom w:w="0" w:type="dxa"/>
          <w:right w:w="108" w:type="dxa"/>
        </w:tblCellMar>
      </w:tblPr>
      <w:tblGrid>
        <w:gridCol w:w="1640"/>
        <w:gridCol w:w="1273"/>
        <w:gridCol w:w="1599"/>
        <w:gridCol w:w="1335"/>
        <w:gridCol w:w="1662"/>
        <w:gridCol w:w="1347"/>
      </w:tblGrid>
      <w:tr w14:paraId="139090B5">
        <w:trPr>
          <w:trHeight w:val="285" w:hRule="atLeast"/>
          <w:jc w:val="center"/>
        </w:trPr>
        <w:tc>
          <w:tcPr>
            <w:tcW w:w="926" w:type="pct"/>
            <w:vMerge w:val="restart"/>
            <w:tcBorders>
              <w:top w:val="single" w:color="auto" w:sz="8" w:space="0"/>
              <w:left w:val="single" w:color="auto" w:sz="2" w:space="0"/>
              <w:right w:val="single" w:color="000000" w:sz="8" w:space="0"/>
            </w:tcBorders>
            <w:vAlign w:val="center"/>
          </w:tcPr>
          <w:p w14:paraId="18B44C71">
            <w:pPr>
              <w:widowControl w:val="0"/>
              <w:adjustRightInd w:val="0"/>
              <w:spacing w:after="0" w:line="400" w:lineRule="exact"/>
              <w:jc w:val="center"/>
              <w:rPr>
                <w:rFonts w:hint="eastAsia" w:ascii="宋体" w:hAnsi="宋体" w:eastAsia="宋体" w:cs="Times New Roman"/>
                <w:kern w:val="0"/>
                <w:sz w:val="18"/>
                <w:szCs w:val="18"/>
              </w:rPr>
            </w:pPr>
            <w:r>
              <w:rPr>
                <w:rFonts w:hint="eastAsia" w:ascii="宋体" w:hAnsi="宋体" w:eastAsia="宋体" w:cs="Times New Roman"/>
                <w:kern w:val="0"/>
                <w:sz w:val="18"/>
                <w:szCs w:val="18"/>
              </w:rPr>
              <w:t>样本数</w:t>
            </w:r>
          </w:p>
        </w:tc>
        <w:tc>
          <w:tcPr>
            <w:tcW w:w="4074" w:type="pct"/>
            <w:gridSpan w:val="5"/>
            <w:tcBorders>
              <w:top w:val="single" w:color="auto" w:sz="8" w:space="0"/>
              <w:left w:val="single" w:color="auto" w:sz="2" w:space="0"/>
              <w:bottom w:val="single" w:color="auto" w:sz="2" w:space="0"/>
              <w:right w:val="single" w:color="000000" w:sz="8" w:space="0"/>
            </w:tcBorders>
            <w:vAlign w:val="center"/>
          </w:tcPr>
          <w:p w14:paraId="57E5523B">
            <w:pPr>
              <w:widowControl w:val="0"/>
              <w:adjustRightInd w:val="0"/>
              <w:spacing w:after="0" w:line="400" w:lineRule="exact"/>
              <w:jc w:val="center"/>
              <w:rPr>
                <w:rFonts w:hint="eastAsia" w:ascii="宋体" w:hAnsi="宋体" w:eastAsia="宋体" w:cs="Times New Roman"/>
                <w:kern w:val="0"/>
                <w:sz w:val="18"/>
                <w:szCs w:val="18"/>
              </w:rPr>
            </w:pPr>
            <w:r>
              <w:rPr>
                <w:rFonts w:hint="eastAsia" w:ascii="宋体" w:hAnsi="宋体" w:eastAsia="宋体" w:cs="Times New Roman"/>
                <w:kern w:val="0"/>
                <w:sz w:val="18"/>
                <w:szCs w:val="18"/>
              </w:rPr>
              <w:t>模型检验指标</w:t>
            </w:r>
          </w:p>
        </w:tc>
      </w:tr>
      <w:tr w14:paraId="3F581428">
        <w:tblPrEx>
          <w:tblCellMar>
            <w:top w:w="0" w:type="dxa"/>
            <w:left w:w="108" w:type="dxa"/>
            <w:bottom w:w="0" w:type="dxa"/>
            <w:right w:w="108" w:type="dxa"/>
          </w:tblCellMar>
        </w:tblPrEx>
        <w:trPr>
          <w:trHeight w:val="360" w:hRule="atLeast"/>
          <w:jc w:val="center"/>
        </w:trPr>
        <w:tc>
          <w:tcPr>
            <w:tcW w:w="926" w:type="pct"/>
            <w:vMerge w:val="continue"/>
            <w:tcBorders>
              <w:left w:val="single" w:color="auto" w:sz="2" w:space="0"/>
              <w:bottom w:val="single" w:color="auto" w:sz="8" w:space="0"/>
              <w:right w:val="single" w:color="000000" w:sz="8" w:space="0"/>
            </w:tcBorders>
            <w:vAlign w:val="center"/>
          </w:tcPr>
          <w:p w14:paraId="2C0C191E">
            <w:pPr>
              <w:widowControl w:val="0"/>
              <w:adjustRightInd w:val="0"/>
              <w:spacing w:after="0" w:line="400" w:lineRule="exact"/>
              <w:jc w:val="center"/>
              <w:rPr>
                <w:rFonts w:hint="eastAsia" w:ascii="宋体" w:hAnsi="宋体" w:eastAsia="宋体" w:cs="Times New Roman"/>
                <w:kern w:val="0"/>
                <w:sz w:val="18"/>
                <w:szCs w:val="18"/>
              </w:rPr>
            </w:pPr>
          </w:p>
        </w:tc>
        <w:tc>
          <w:tcPr>
            <w:tcW w:w="1376" w:type="dxa"/>
            <w:tcBorders>
              <w:top w:val="single" w:color="auto" w:sz="2" w:space="0"/>
              <w:left w:val="single" w:color="000000" w:sz="8" w:space="0"/>
              <w:bottom w:val="single" w:color="auto" w:sz="8" w:space="0"/>
              <w:right w:val="single" w:color="auto" w:sz="2" w:space="0"/>
            </w:tcBorders>
            <w:vAlign w:val="center"/>
          </w:tcPr>
          <w:p w14:paraId="672C5190">
            <w:pPr>
              <w:widowControl w:val="0"/>
              <w:adjustRightInd w:val="0"/>
              <w:spacing w:after="0" w:line="400" w:lineRule="exact"/>
              <w:jc w:val="center"/>
              <w:rPr>
                <w:rFonts w:hint="eastAsia" w:ascii="宋体" w:hAnsi="宋体" w:eastAsia="宋体" w:cs="Times New Roman"/>
                <w:kern w:val="0"/>
                <w:sz w:val="18"/>
                <w:szCs w:val="18"/>
              </w:rPr>
            </w:pPr>
            <w:r>
              <w:rPr>
                <w:rFonts w:ascii="宋体" w:hAnsi="宋体" w:eastAsia="宋体" w:cs="Times New Roman"/>
                <w:kern w:val="0"/>
                <w:sz w:val="18"/>
                <w:szCs w:val="18"/>
              </w:rPr>
              <w:t>MPE</w:t>
            </w:r>
          </w:p>
        </w:tc>
        <w:tc>
          <w:tcPr>
            <w:tcW w:w="1728" w:type="dxa"/>
            <w:tcBorders>
              <w:top w:val="single" w:color="auto" w:sz="2" w:space="0"/>
              <w:left w:val="single" w:color="auto" w:sz="2" w:space="0"/>
              <w:bottom w:val="single" w:color="auto" w:sz="8" w:space="0"/>
              <w:right w:val="single" w:color="auto" w:sz="2" w:space="0"/>
            </w:tcBorders>
            <w:vAlign w:val="center"/>
          </w:tcPr>
          <w:p w14:paraId="2A41EDF6">
            <w:pPr>
              <w:widowControl w:val="0"/>
              <w:adjustRightInd w:val="0"/>
              <w:spacing w:after="0" w:line="400" w:lineRule="exact"/>
              <w:jc w:val="center"/>
              <w:rPr>
                <w:rFonts w:hint="eastAsia" w:ascii="宋体" w:hAnsi="宋体" w:eastAsia="宋体" w:cs="Times New Roman"/>
                <w:kern w:val="0"/>
                <w:sz w:val="18"/>
                <w:szCs w:val="18"/>
              </w:rPr>
            </w:pPr>
            <w:r>
              <w:rPr>
                <w:rFonts w:ascii="宋体" w:hAnsi="宋体" w:eastAsia="宋体" w:cs="Times New Roman"/>
                <w:kern w:val="0"/>
                <w:sz w:val="18"/>
                <w:szCs w:val="18"/>
              </w:rPr>
              <w:t>MPE</w:t>
            </w:r>
            <w:r>
              <w:rPr>
                <w:rFonts w:hint="eastAsia" w:ascii="宋体" w:hAnsi="宋体" w:eastAsia="宋体" w:cs="Times New Roman"/>
                <w:kern w:val="0"/>
                <w:sz w:val="18"/>
                <w:szCs w:val="18"/>
              </w:rPr>
              <w:t>（</w:t>
            </w:r>
            <w:r>
              <w:rPr>
                <w:rFonts w:ascii="宋体" w:hAnsi="宋体" w:eastAsia="宋体" w:cs="Times New Roman"/>
                <w:kern w:val="0"/>
                <w:sz w:val="18"/>
                <w:szCs w:val="18"/>
              </w:rPr>
              <w:t>%</w:t>
            </w:r>
            <w:r>
              <w:rPr>
                <w:rFonts w:hint="eastAsia" w:ascii="宋体" w:hAnsi="宋体" w:eastAsia="宋体" w:cs="Times New Roman"/>
                <w:kern w:val="0"/>
                <w:sz w:val="18"/>
                <w:szCs w:val="18"/>
              </w:rPr>
              <w:t>）</w:t>
            </w:r>
          </w:p>
        </w:tc>
        <w:tc>
          <w:tcPr>
            <w:tcW w:w="1443" w:type="dxa"/>
            <w:tcBorders>
              <w:top w:val="single" w:color="auto" w:sz="2" w:space="0"/>
              <w:left w:val="single" w:color="auto" w:sz="2" w:space="0"/>
              <w:bottom w:val="single" w:color="auto" w:sz="8" w:space="0"/>
              <w:right w:val="single" w:color="auto" w:sz="2" w:space="0"/>
            </w:tcBorders>
            <w:vAlign w:val="center"/>
          </w:tcPr>
          <w:p w14:paraId="3E52B861">
            <w:pPr>
              <w:widowControl w:val="0"/>
              <w:adjustRightInd w:val="0"/>
              <w:spacing w:after="0" w:line="400" w:lineRule="exact"/>
              <w:jc w:val="center"/>
              <w:rPr>
                <w:rFonts w:hint="eastAsia" w:ascii="宋体" w:hAnsi="宋体" w:eastAsia="宋体" w:cs="Times New Roman"/>
                <w:kern w:val="0"/>
                <w:sz w:val="18"/>
                <w:szCs w:val="18"/>
              </w:rPr>
            </w:pPr>
            <w:r>
              <w:rPr>
                <w:rFonts w:ascii="宋体" w:hAnsi="宋体" w:eastAsia="宋体" w:cs="Times New Roman"/>
                <w:kern w:val="0"/>
                <w:sz w:val="18"/>
                <w:szCs w:val="18"/>
              </w:rPr>
              <w:t>MAE</w:t>
            </w:r>
          </w:p>
        </w:tc>
        <w:tc>
          <w:tcPr>
            <w:tcW w:w="1795" w:type="dxa"/>
            <w:tcBorders>
              <w:top w:val="single" w:color="auto" w:sz="2" w:space="0"/>
              <w:left w:val="single" w:color="auto" w:sz="2" w:space="0"/>
              <w:bottom w:val="single" w:color="auto" w:sz="8" w:space="0"/>
              <w:right w:val="single" w:color="auto" w:sz="2" w:space="0"/>
            </w:tcBorders>
            <w:vAlign w:val="center"/>
          </w:tcPr>
          <w:p w14:paraId="06783C0E">
            <w:pPr>
              <w:widowControl w:val="0"/>
              <w:adjustRightInd w:val="0"/>
              <w:spacing w:after="0" w:line="400" w:lineRule="exact"/>
              <w:jc w:val="center"/>
              <w:rPr>
                <w:rFonts w:hint="eastAsia" w:ascii="宋体" w:hAnsi="宋体" w:eastAsia="宋体" w:cs="Times New Roman"/>
                <w:kern w:val="0"/>
                <w:sz w:val="18"/>
                <w:szCs w:val="18"/>
              </w:rPr>
            </w:pPr>
            <w:r>
              <w:rPr>
                <w:rFonts w:ascii="宋体" w:hAnsi="宋体" w:eastAsia="宋体" w:cs="Times New Roman"/>
                <w:kern w:val="0"/>
                <w:sz w:val="18"/>
                <w:szCs w:val="18"/>
              </w:rPr>
              <w:t>MAE</w:t>
            </w:r>
            <w:r>
              <w:rPr>
                <w:rFonts w:hint="eastAsia" w:ascii="宋体" w:hAnsi="宋体" w:eastAsia="宋体" w:cs="Times New Roman"/>
                <w:kern w:val="0"/>
                <w:sz w:val="18"/>
                <w:szCs w:val="18"/>
              </w:rPr>
              <w:t>（</w:t>
            </w:r>
            <w:r>
              <w:rPr>
                <w:rFonts w:ascii="宋体" w:hAnsi="宋体" w:eastAsia="宋体" w:cs="Times New Roman"/>
                <w:kern w:val="0"/>
                <w:sz w:val="18"/>
                <w:szCs w:val="18"/>
              </w:rPr>
              <w:t>%</w:t>
            </w:r>
            <w:r>
              <w:rPr>
                <w:rFonts w:hint="eastAsia" w:ascii="宋体" w:hAnsi="宋体" w:eastAsia="宋体" w:cs="Times New Roman"/>
                <w:kern w:val="0"/>
                <w:sz w:val="18"/>
                <w:szCs w:val="18"/>
              </w:rPr>
              <w:t>）</w:t>
            </w:r>
          </w:p>
        </w:tc>
        <w:tc>
          <w:tcPr>
            <w:tcW w:w="1456" w:type="dxa"/>
            <w:tcBorders>
              <w:top w:val="single" w:color="auto" w:sz="2" w:space="0"/>
              <w:left w:val="single" w:color="auto" w:sz="2" w:space="0"/>
              <w:bottom w:val="single" w:color="auto" w:sz="8" w:space="0"/>
              <w:right w:val="single" w:color="auto" w:sz="8" w:space="0"/>
            </w:tcBorders>
            <w:vAlign w:val="center"/>
          </w:tcPr>
          <w:p w14:paraId="4DA49E41">
            <w:pPr>
              <w:widowControl w:val="0"/>
              <w:adjustRightInd w:val="0"/>
              <w:spacing w:after="0" w:line="400" w:lineRule="exact"/>
              <w:jc w:val="center"/>
              <w:rPr>
                <w:rFonts w:hint="eastAsia" w:ascii="宋体" w:hAnsi="宋体" w:eastAsia="宋体" w:cs="Times New Roman"/>
                <w:i/>
                <w:iCs/>
                <w:kern w:val="0"/>
                <w:sz w:val="18"/>
                <w:szCs w:val="18"/>
              </w:rPr>
            </w:pPr>
            <w:r>
              <w:rPr>
                <w:rFonts w:hint="eastAsia" w:ascii="宋体" w:hAnsi="宋体" w:eastAsia="宋体" w:cs="Times New Roman"/>
                <w:kern w:val="0"/>
                <w:sz w:val="18"/>
                <w:szCs w:val="18"/>
              </w:rPr>
              <w:t>精度（</w:t>
            </w:r>
            <w:r>
              <w:rPr>
                <w:rFonts w:ascii="宋体" w:hAnsi="宋体" w:eastAsia="宋体" w:cs="Times New Roman"/>
                <w:kern w:val="0"/>
                <w:sz w:val="18"/>
                <w:szCs w:val="18"/>
              </w:rPr>
              <w:t>%</w:t>
            </w:r>
            <w:r>
              <w:rPr>
                <w:rFonts w:hint="eastAsia" w:ascii="宋体" w:hAnsi="宋体" w:eastAsia="宋体" w:cs="Times New Roman"/>
                <w:kern w:val="0"/>
                <w:sz w:val="18"/>
                <w:szCs w:val="18"/>
              </w:rPr>
              <w:t>）</w:t>
            </w:r>
          </w:p>
        </w:tc>
      </w:tr>
      <w:tr w14:paraId="5C38BFD3">
        <w:tblPrEx>
          <w:tblCellMar>
            <w:top w:w="0" w:type="dxa"/>
            <w:left w:w="108" w:type="dxa"/>
            <w:bottom w:w="0" w:type="dxa"/>
            <w:right w:w="108" w:type="dxa"/>
          </w:tblCellMar>
        </w:tblPrEx>
        <w:trPr>
          <w:trHeight w:val="285" w:hRule="atLeast"/>
          <w:jc w:val="center"/>
        </w:trPr>
        <w:tc>
          <w:tcPr>
            <w:tcW w:w="926" w:type="pct"/>
            <w:tcBorders>
              <w:top w:val="nil"/>
              <w:left w:val="single" w:color="auto" w:sz="2" w:space="0"/>
              <w:bottom w:val="single" w:color="auto" w:sz="2" w:space="0"/>
              <w:right w:val="single" w:color="auto" w:sz="2" w:space="0"/>
            </w:tcBorders>
            <w:vAlign w:val="center"/>
          </w:tcPr>
          <w:p w14:paraId="310A15A1">
            <w:pPr>
              <w:widowControl w:val="0"/>
              <w:adjustRightInd w:val="0"/>
              <w:spacing w:after="0" w:line="400" w:lineRule="exact"/>
              <w:jc w:val="center"/>
              <w:rPr>
                <w:rFonts w:hint="default" w:ascii="宋体" w:hAnsi="宋体" w:eastAsia="宋体" w:cs="Times New Roman"/>
                <w:kern w:val="0"/>
                <w:sz w:val="18"/>
                <w:szCs w:val="18"/>
                <w:lang w:val="en-US" w:eastAsia="zh-CN"/>
              </w:rPr>
            </w:pPr>
            <w:r>
              <w:rPr>
                <w:rFonts w:hint="eastAsia" w:ascii="宋体" w:hAnsi="宋体" w:eastAsia="宋体" w:cs="Times New Roman"/>
                <w:kern w:val="0"/>
                <w:sz w:val="18"/>
                <w:szCs w:val="18"/>
                <w:lang w:val="en-US" w:eastAsia="zh-CN"/>
              </w:rPr>
              <w:t>68</w:t>
            </w:r>
          </w:p>
        </w:tc>
        <w:tc>
          <w:tcPr>
            <w:tcW w:w="719" w:type="pct"/>
            <w:tcBorders>
              <w:top w:val="nil"/>
              <w:left w:val="single" w:color="auto" w:sz="2" w:space="0"/>
              <w:bottom w:val="single" w:color="auto" w:sz="2" w:space="0"/>
              <w:right w:val="single" w:color="auto" w:sz="2" w:space="0"/>
            </w:tcBorders>
            <w:vAlign w:val="center"/>
          </w:tcPr>
          <w:p w14:paraId="6AEC85D2">
            <w:pPr>
              <w:widowControl w:val="0"/>
              <w:adjustRightInd w:val="0"/>
              <w:spacing w:after="0" w:line="400" w:lineRule="exact"/>
              <w:jc w:val="center"/>
              <w:rPr>
                <w:rFonts w:hint="default" w:ascii="宋体" w:hAnsi="宋体" w:eastAsia="宋体" w:cs="Times New Roman"/>
                <w:kern w:val="0"/>
                <w:sz w:val="18"/>
                <w:szCs w:val="18"/>
                <w:lang w:val="en-US" w:eastAsia="zh-CN"/>
              </w:rPr>
            </w:pPr>
            <w:r>
              <w:rPr>
                <w:rFonts w:hint="eastAsia" w:ascii="宋体" w:hAnsi="宋体" w:eastAsia="宋体" w:cs="Times New Roman"/>
                <w:kern w:val="0"/>
                <w:sz w:val="18"/>
                <w:szCs w:val="18"/>
                <w:lang w:val="en-US" w:eastAsia="zh-CN"/>
              </w:rPr>
              <w:t>4.32</w:t>
            </w:r>
          </w:p>
        </w:tc>
        <w:tc>
          <w:tcPr>
            <w:tcW w:w="903" w:type="pct"/>
            <w:tcBorders>
              <w:top w:val="nil"/>
              <w:left w:val="single" w:color="auto" w:sz="2" w:space="0"/>
              <w:bottom w:val="single" w:color="auto" w:sz="2" w:space="0"/>
              <w:right w:val="single" w:color="auto" w:sz="2" w:space="0"/>
            </w:tcBorders>
            <w:vAlign w:val="center"/>
          </w:tcPr>
          <w:p w14:paraId="0ED6BC4F">
            <w:pPr>
              <w:widowControl w:val="0"/>
              <w:adjustRightInd w:val="0"/>
              <w:spacing w:after="0" w:line="400" w:lineRule="exact"/>
              <w:jc w:val="center"/>
              <w:rPr>
                <w:rFonts w:hint="default" w:ascii="宋体" w:hAnsi="宋体" w:eastAsia="宋体" w:cs="Times New Roman"/>
                <w:kern w:val="0"/>
                <w:sz w:val="18"/>
                <w:szCs w:val="18"/>
                <w:lang w:val="en-US" w:eastAsia="zh-CN"/>
              </w:rPr>
            </w:pPr>
            <w:r>
              <w:rPr>
                <w:rFonts w:hint="eastAsia" w:ascii="宋体" w:hAnsi="宋体" w:eastAsia="宋体" w:cs="Times New Roman"/>
                <w:kern w:val="0"/>
                <w:sz w:val="18"/>
                <w:szCs w:val="18"/>
                <w:lang w:val="en-US" w:eastAsia="zh-CN"/>
              </w:rPr>
              <w:t>9.10</w:t>
            </w:r>
          </w:p>
        </w:tc>
        <w:tc>
          <w:tcPr>
            <w:tcW w:w="754" w:type="pct"/>
            <w:tcBorders>
              <w:top w:val="nil"/>
              <w:left w:val="single" w:color="auto" w:sz="2" w:space="0"/>
              <w:bottom w:val="single" w:color="auto" w:sz="2" w:space="0"/>
              <w:right w:val="single" w:color="auto" w:sz="2" w:space="0"/>
            </w:tcBorders>
            <w:vAlign w:val="center"/>
          </w:tcPr>
          <w:p w14:paraId="5F02CF48">
            <w:pPr>
              <w:widowControl w:val="0"/>
              <w:adjustRightInd w:val="0"/>
              <w:spacing w:after="0" w:line="400" w:lineRule="exact"/>
              <w:jc w:val="center"/>
              <w:rPr>
                <w:rFonts w:hint="default" w:ascii="宋体" w:hAnsi="宋体" w:eastAsia="宋体" w:cs="Times New Roman"/>
                <w:kern w:val="0"/>
                <w:sz w:val="18"/>
                <w:szCs w:val="18"/>
                <w:lang w:val="en-US" w:eastAsia="zh-CN"/>
              </w:rPr>
            </w:pPr>
            <w:r>
              <w:rPr>
                <w:rFonts w:hint="eastAsia" w:ascii="宋体" w:hAnsi="宋体" w:eastAsia="宋体" w:cs="Times New Roman"/>
                <w:kern w:val="0"/>
                <w:sz w:val="18"/>
                <w:szCs w:val="18"/>
                <w:lang w:val="en-US" w:eastAsia="zh-CN"/>
              </w:rPr>
              <w:t>-2.18</w:t>
            </w:r>
          </w:p>
        </w:tc>
        <w:tc>
          <w:tcPr>
            <w:tcW w:w="938" w:type="pct"/>
            <w:tcBorders>
              <w:top w:val="nil"/>
              <w:left w:val="single" w:color="auto" w:sz="2" w:space="0"/>
              <w:bottom w:val="single" w:color="auto" w:sz="2" w:space="0"/>
              <w:right w:val="single" w:color="auto" w:sz="2" w:space="0"/>
            </w:tcBorders>
            <w:vAlign w:val="center"/>
          </w:tcPr>
          <w:p w14:paraId="09D6D9EC">
            <w:pPr>
              <w:widowControl w:val="0"/>
              <w:adjustRightInd w:val="0"/>
              <w:spacing w:after="0" w:line="400" w:lineRule="exact"/>
              <w:jc w:val="center"/>
              <w:rPr>
                <w:rFonts w:hint="default" w:ascii="宋体" w:hAnsi="宋体" w:eastAsia="宋体" w:cs="Times New Roman"/>
                <w:kern w:val="0"/>
                <w:sz w:val="18"/>
                <w:szCs w:val="18"/>
                <w:lang w:val="en-US" w:eastAsia="zh-CN"/>
              </w:rPr>
            </w:pPr>
            <w:r>
              <w:rPr>
                <w:rFonts w:hint="eastAsia" w:ascii="宋体" w:hAnsi="宋体" w:eastAsia="宋体" w:cs="Times New Roman"/>
                <w:kern w:val="0"/>
                <w:sz w:val="18"/>
                <w:szCs w:val="18"/>
                <w:lang w:val="en-US" w:eastAsia="zh-CN"/>
              </w:rPr>
              <w:t>16.43</w:t>
            </w:r>
          </w:p>
        </w:tc>
        <w:tc>
          <w:tcPr>
            <w:tcW w:w="760" w:type="pct"/>
            <w:tcBorders>
              <w:top w:val="nil"/>
              <w:left w:val="single" w:color="auto" w:sz="2" w:space="0"/>
              <w:bottom w:val="single" w:color="auto" w:sz="2" w:space="0"/>
              <w:right w:val="single" w:color="auto" w:sz="8" w:space="0"/>
            </w:tcBorders>
            <w:vAlign w:val="center"/>
          </w:tcPr>
          <w:p w14:paraId="1272E145">
            <w:pPr>
              <w:widowControl w:val="0"/>
              <w:adjustRightInd w:val="0"/>
              <w:spacing w:after="0" w:line="400" w:lineRule="exact"/>
              <w:jc w:val="center"/>
              <w:rPr>
                <w:rFonts w:hint="default" w:ascii="宋体" w:hAnsi="宋体" w:eastAsia="宋体" w:cs="Times New Roman"/>
                <w:kern w:val="0"/>
                <w:sz w:val="18"/>
                <w:szCs w:val="18"/>
                <w:lang w:val="en-US" w:eastAsia="zh-CN"/>
              </w:rPr>
            </w:pPr>
            <w:r>
              <w:rPr>
                <w:rFonts w:hint="eastAsia" w:ascii="宋体" w:hAnsi="宋体" w:eastAsia="宋体" w:cs="Times New Roman"/>
                <w:kern w:val="0"/>
                <w:sz w:val="18"/>
                <w:szCs w:val="18"/>
                <w:lang w:val="en-US" w:eastAsia="zh-CN"/>
              </w:rPr>
              <w:t>89.5</w:t>
            </w:r>
          </w:p>
        </w:tc>
      </w:tr>
    </w:tbl>
    <w:p w14:paraId="212FF9D6">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jc w:val="left"/>
        <w:textAlignment w:val="auto"/>
        <w:rPr>
          <w:rFonts w:hint="eastAsia" w:ascii="仿宋" w:hAnsi="仿宋" w:eastAsia="仿宋" w:cs="仿宋"/>
          <w:sz w:val="32"/>
          <w:szCs w:val="32"/>
        </w:rPr>
      </w:pPr>
      <w:r>
        <w:rPr>
          <w:rFonts w:hint="eastAsia" w:ascii="仿宋" w:hAnsi="仿宋" w:eastAsia="仿宋" w:cs="仿宋"/>
          <w:sz w:val="32"/>
          <w:szCs w:val="32"/>
        </w:rPr>
        <w:t>表6 相容性生物量模型的评价指标</w:t>
      </w:r>
    </w:p>
    <w:tbl>
      <w:tblPr>
        <w:tblStyle w:val="19"/>
        <w:tblW w:w="5000" w:type="pct"/>
        <w:jc w:val="center"/>
        <w:tblLayout w:type="autofit"/>
        <w:tblCellMar>
          <w:top w:w="0" w:type="dxa"/>
          <w:left w:w="108" w:type="dxa"/>
          <w:bottom w:w="0" w:type="dxa"/>
          <w:right w:w="108" w:type="dxa"/>
        </w:tblCellMar>
      </w:tblPr>
      <w:tblGrid>
        <w:gridCol w:w="1638"/>
        <w:gridCol w:w="1272"/>
        <w:gridCol w:w="1598"/>
        <w:gridCol w:w="1334"/>
        <w:gridCol w:w="1660"/>
        <w:gridCol w:w="1354"/>
      </w:tblGrid>
      <w:tr w14:paraId="57217D2C">
        <w:tblPrEx>
          <w:tblCellMar>
            <w:top w:w="0" w:type="dxa"/>
            <w:left w:w="108" w:type="dxa"/>
            <w:bottom w:w="0" w:type="dxa"/>
            <w:right w:w="108" w:type="dxa"/>
          </w:tblCellMar>
        </w:tblPrEx>
        <w:trPr>
          <w:trHeight w:val="285" w:hRule="atLeast"/>
          <w:jc w:val="center"/>
        </w:trPr>
        <w:tc>
          <w:tcPr>
            <w:tcW w:w="925" w:type="pct"/>
            <w:vMerge w:val="restart"/>
            <w:tcBorders>
              <w:top w:val="single" w:color="auto" w:sz="8" w:space="0"/>
              <w:left w:val="single" w:color="auto" w:sz="2" w:space="0"/>
              <w:right w:val="single" w:color="000000" w:sz="8" w:space="0"/>
            </w:tcBorders>
            <w:vAlign w:val="center"/>
          </w:tcPr>
          <w:p w14:paraId="631B3D45">
            <w:pPr>
              <w:widowControl w:val="0"/>
              <w:adjustRightInd w:val="0"/>
              <w:spacing w:after="0" w:line="400" w:lineRule="exact"/>
              <w:jc w:val="center"/>
              <w:rPr>
                <w:rFonts w:hint="eastAsia" w:ascii="宋体" w:hAnsi="宋体" w:eastAsia="宋体" w:cs="Times New Roman"/>
                <w:kern w:val="0"/>
                <w:sz w:val="18"/>
                <w:szCs w:val="18"/>
              </w:rPr>
            </w:pPr>
            <w:r>
              <w:rPr>
                <w:rFonts w:hint="eastAsia" w:ascii="宋体" w:hAnsi="宋体" w:eastAsia="宋体" w:cs="Times New Roman"/>
                <w:kern w:val="0"/>
                <w:sz w:val="18"/>
                <w:szCs w:val="18"/>
              </w:rPr>
              <w:t>样本数</w:t>
            </w:r>
          </w:p>
        </w:tc>
        <w:tc>
          <w:tcPr>
            <w:tcW w:w="4074" w:type="pct"/>
            <w:gridSpan w:val="5"/>
            <w:tcBorders>
              <w:top w:val="single" w:color="auto" w:sz="8" w:space="0"/>
              <w:left w:val="single" w:color="auto" w:sz="2" w:space="0"/>
              <w:bottom w:val="single" w:color="auto" w:sz="2" w:space="0"/>
              <w:right w:val="single" w:color="000000" w:sz="8" w:space="0"/>
            </w:tcBorders>
            <w:vAlign w:val="center"/>
          </w:tcPr>
          <w:p w14:paraId="270A746F">
            <w:pPr>
              <w:widowControl w:val="0"/>
              <w:adjustRightInd w:val="0"/>
              <w:spacing w:after="0" w:line="400" w:lineRule="exact"/>
              <w:jc w:val="center"/>
              <w:rPr>
                <w:rFonts w:hint="eastAsia" w:ascii="宋体" w:hAnsi="宋体" w:eastAsia="宋体" w:cs="Times New Roman"/>
                <w:kern w:val="0"/>
                <w:sz w:val="18"/>
                <w:szCs w:val="18"/>
              </w:rPr>
            </w:pPr>
            <w:r>
              <w:rPr>
                <w:rFonts w:hint="eastAsia" w:ascii="宋体" w:hAnsi="宋体" w:eastAsia="宋体" w:cs="Times New Roman"/>
                <w:kern w:val="0"/>
                <w:sz w:val="18"/>
                <w:szCs w:val="18"/>
              </w:rPr>
              <w:t>模型检验指标</w:t>
            </w:r>
          </w:p>
        </w:tc>
      </w:tr>
      <w:tr w14:paraId="4186D3C3">
        <w:tblPrEx>
          <w:tblCellMar>
            <w:top w:w="0" w:type="dxa"/>
            <w:left w:w="108" w:type="dxa"/>
            <w:bottom w:w="0" w:type="dxa"/>
            <w:right w:w="108" w:type="dxa"/>
          </w:tblCellMar>
        </w:tblPrEx>
        <w:trPr>
          <w:trHeight w:val="360" w:hRule="atLeast"/>
          <w:jc w:val="center"/>
        </w:trPr>
        <w:tc>
          <w:tcPr>
            <w:tcW w:w="925" w:type="pct"/>
            <w:vMerge w:val="continue"/>
            <w:tcBorders>
              <w:left w:val="single" w:color="auto" w:sz="2" w:space="0"/>
              <w:bottom w:val="single" w:color="auto" w:sz="2" w:space="0"/>
              <w:right w:val="single" w:color="000000" w:sz="8" w:space="0"/>
            </w:tcBorders>
            <w:vAlign w:val="center"/>
          </w:tcPr>
          <w:p w14:paraId="3ACBD953">
            <w:pPr>
              <w:widowControl w:val="0"/>
              <w:adjustRightInd w:val="0"/>
              <w:spacing w:after="0" w:line="400" w:lineRule="exact"/>
              <w:jc w:val="center"/>
              <w:rPr>
                <w:rFonts w:hint="eastAsia" w:ascii="宋体" w:hAnsi="宋体" w:eastAsia="宋体" w:cs="Times New Roman"/>
                <w:kern w:val="0"/>
                <w:sz w:val="18"/>
                <w:szCs w:val="18"/>
              </w:rPr>
            </w:pPr>
          </w:p>
        </w:tc>
        <w:tc>
          <w:tcPr>
            <w:tcW w:w="718" w:type="pct"/>
            <w:tcBorders>
              <w:top w:val="single" w:color="auto" w:sz="2" w:space="0"/>
              <w:left w:val="single" w:color="000000" w:sz="8" w:space="0"/>
              <w:bottom w:val="single" w:color="auto" w:sz="2" w:space="0"/>
              <w:right w:val="single" w:color="auto" w:sz="2" w:space="0"/>
            </w:tcBorders>
            <w:vAlign w:val="center"/>
          </w:tcPr>
          <w:p w14:paraId="395D24E9">
            <w:pPr>
              <w:widowControl w:val="0"/>
              <w:adjustRightInd w:val="0"/>
              <w:spacing w:after="0" w:line="400" w:lineRule="exact"/>
              <w:jc w:val="center"/>
              <w:rPr>
                <w:rFonts w:hint="eastAsia" w:ascii="宋体" w:hAnsi="宋体" w:eastAsia="宋体" w:cs="Times New Roman"/>
                <w:kern w:val="0"/>
                <w:sz w:val="18"/>
                <w:szCs w:val="18"/>
              </w:rPr>
            </w:pPr>
            <w:r>
              <w:rPr>
                <w:rFonts w:ascii="宋体" w:hAnsi="宋体" w:eastAsia="宋体" w:cs="Times New Roman"/>
                <w:kern w:val="0"/>
                <w:sz w:val="18"/>
                <w:szCs w:val="18"/>
              </w:rPr>
              <w:t>MPE</w:t>
            </w:r>
          </w:p>
        </w:tc>
        <w:tc>
          <w:tcPr>
            <w:tcW w:w="902" w:type="pct"/>
            <w:tcBorders>
              <w:top w:val="single" w:color="auto" w:sz="2" w:space="0"/>
              <w:left w:val="single" w:color="auto" w:sz="2" w:space="0"/>
              <w:bottom w:val="single" w:color="auto" w:sz="2" w:space="0"/>
              <w:right w:val="single" w:color="auto" w:sz="2" w:space="0"/>
            </w:tcBorders>
            <w:vAlign w:val="center"/>
          </w:tcPr>
          <w:p w14:paraId="455DDDBB">
            <w:pPr>
              <w:widowControl w:val="0"/>
              <w:adjustRightInd w:val="0"/>
              <w:spacing w:after="0" w:line="400" w:lineRule="exact"/>
              <w:jc w:val="center"/>
              <w:rPr>
                <w:rFonts w:hint="eastAsia" w:ascii="宋体" w:hAnsi="宋体" w:eastAsia="宋体" w:cs="Times New Roman"/>
                <w:kern w:val="0"/>
                <w:sz w:val="18"/>
                <w:szCs w:val="18"/>
              </w:rPr>
            </w:pPr>
            <w:r>
              <w:rPr>
                <w:rFonts w:ascii="宋体" w:hAnsi="宋体" w:eastAsia="宋体" w:cs="Times New Roman"/>
                <w:kern w:val="0"/>
                <w:sz w:val="18"/>
                <w:szCs w:val="18"/>
              </w:rPr>
              <w:t>MPE</w:t>
            </w:r>
            <w:r>
              <w:rPr>
                <w:rFonts w:hint="eastAsia" w:ascii="宋体" w:hAnsi="宋体" w:eastAsia="宋体" w:cs="Times New Roman"/>
                <w:kern w:val="0"/>
                <w:sz w:val="18"/>
                <w:szCs w:val="18"/>
              </w:rPr>
              <w:t>（</w:t>
            </w:r>
            <w:r>
              <w:rPr>
                <w:rFonts w:ascii="宋体" w:hAnsi="宋体" w:eastAsia="宋体" w:cs="Times New Roman"/>
                <w:kern w:val="0"/>
                <w:sz w:val="18"/>
                <w:szCs w:val="18"/>
              </w:rPr>
              <w:t>%</w:t>
            </w:r>
            <w:r>
              <w:rPr>
                <w:rFonts w:hint="eastAsia" w:ascii="宋体" w:hAnsi="宋体" w:eastAsia="宋体" w:cs="Times New Roman"/>
                <w:kern w:val="0"/>
                <w:sz w:val="18"/>
                <w:szCs w:val="18"/>
              </w:rPr>
              <w:t>）</w:t>
            </w:r>
          </w:p>
        </w:tc>
        <w:tc>
          <w:tcPr>
            <w:tcW w:w="753" w:type="pct"/>
            <w:tcBorders>
              <w:top w:val="single" w:color="auto" w:sz="2" w:space="0"/>
              <w:left w:val="single" w:color="auto" w:sz="2" w:space="0"/>
              <w:bottom w:val="single" w:color="auto" w:sz="2" w:space="0"/>
              <w:right w:val="single" w:color="auto" w:sz="2" w:space="0"/>
            </w:tcBorders>
            <w:vAlign w:val="center"/>
          </w:tcPr>
          <w:p w14:paraId="3D1015AB">
            <w:pPr>
              <w:widowControl w:val="0"/>
              <w:adjustRightInd w:val="0"/>
              <w:spacing w:after="0" w:line="400" w:lineRule="exact"/>
              <w:jc w:val="center"/>
              <w:rPr>
                <w:rFonts w:hint="eastAsia" w:ascii="宋体" w:hAnsi="宋体" w:eastAsia="宋体" w:cs="Times New Roman"/>
                <w:kern w:val="0"/>
                <w:sz w:val="18"/>
                <w:szCs w:val="18"/>
              </w:rPr>
            </w:pPr>
            <w:r>
              <w:rPr>
                <w:rFonts w:ascii="宋体" w:hAnsi="宋体" w:eastAsia="宋体" w:cs="Times New Roman"/>
                <w:kern w:val="0"/>
                <w:sz w:val="18"/>
                <w:szCs w:val="18"/>
              </w:rPr>
              <w:t>MAE</w:t>
            </w:r>
          </w:p>
        </w:tc>
        <w:tc>
          <w:tcPr>
            <w:tcW w:w="937" w:type="pct"/>
            <w:tcBorders>
              <w:top w:val="single" w:color="auto" w:sz="2" w:space="0"/>
              <w:left w:val="single" w:color="auto" w:sz="2" w:space="0"/>
              <w:bottom w:val="single" w:color="auto" w:sz="2" w:space="0"/>
              <w:right w:val="single" w:color="auto" w:sz="2" w:space="0"/>
            </w:tcBorders>
            <w:vAlign w:val="center"/>
          </w:tcPr>
          <w:p w14:paraId="2D1C0695">
            <w:pPr>
              <w:widowControl w:val="0"/>
              <w:adjustRightInd w:val="0"/>
              <w:spacing w:after="0" w:line="400" w:lineRule="exact"/>
              <w:jc w:val="center"/>
              <w:rPr>
                <w:rFonts w:hint="eastAsia" w:ascii="宋体" w:hAnsi="宋体" w:eastAsia="宋体" w:cs="Times New Roman"/>
                <w:kern w:val="0"/>
                <w:sz w:val="18"/>
                <w:szCs w:val="18"/>
              </w:rPr>
            </w:pPr>
            <w:r>
              <w:rPr>
                <w:rFonts w:ascii="宋体" w:hAnsi="宋体" w:eastAsia="宋体" w:cs="Times New Roman"/>
                <w:kern w:val="0"/>
                <w:sz w:val="18"/>
                <w:szCs w:val="18"/>
              </w:rPr>
              <w:t>MAE</w:t>
            </w:r>
            <w:r>
              <w:rPr>
                <w:rFonts w:hint="eastAsia" w:ascii="宋体" w:hAnsi="宋体" w:eastAsia="宋体" w:cs="Times New Roman"/>
                <w:kern w:val="0"/>
                <w:sz w:val="18"/>
                <w:szCs w:val="18"/>
              </w:rPr>
              <w:t>（</w:t>
            </w:r>
            <w:r>
              <w:rPr>
                <w:rFonts w:ascii="宋体" w:hAnsi="宋体" w:eastAsia="宋体" w:cs="Times New Roman"/>
                <w:kern w:val="0"/>
                <w:sz w:val="18"/>
                <w:szCs w:val="18"/>
              </w:rPr>
              <w:t>%</w:t>
            </w:r>
            <w:r>
              <w:rPr>
                <w:rFonts w:hint="eastAsia" w:ascii="宋体" w:hAnsi="宋体" w:eastAsia="宋体" w:cs="Times New Roman"/>
                <w:kern w:val="0"/>
                <w:sz w:val="18"/>
                <w:szCs w:val="18"/>
              </w:rPr>
              <w:t>）</w:t>
            </w:r>
          </w:p>
        </w:tc>
        <w:tc>
          <w:tcPr>
            <w:tcW w:w="760" w:type="pct"/>
            <w:tcBorders>
              <w:top w:val="single" w:color="auto" w:sz="2" w:space="0"/>
              <w:left w:val="single" w:color="auto" w:sz="2" w:space="0"/>
              <w:bottom w:val="single" w:color="auto" w:sz="2" w:space="0"/>
              <w:right w:val="single" w:color="auto" w:sz="8" w:space="0"/>
            </w:tcBorders>
            <w:vAlign w:val="center"/>
          </w:tcPr>
          <w:p w14:paraId="27354438">
            <w:pPr>
              <w:widowControl w:val="0"/>
              <w:adjustRightInd w:val="0"/>
              <w:spacing w:after="0" w:line="400" w:lineRule="exact"/>
              <w:jc w:val="center"/>
              <w:rPr>
                <w:rFonts w:hint="eastAsia" w:ascii="宋体" w:hAnsi="宋体" w:eastAsia="宋体" w:cs="Times New Roman"/>
                <w:i/>
                <w:iCs/>
                <w:kern w:val="0"/>
                <w:sz w:val="18"/>
                <w:szCs w:val="18"/>
              </w:rPr>
            </w:pPr>
            <w:r>
              <w:rPr>
                <w:rFonts w:hint="eastAsia" w:ascii="宋体" w:hAnsi="宋体" w:eastAsia="宋体" w:cs="Times New Roman"/>
                <w:kern w:val="0"/>
                <w:sz w:val="18"/>
                <w:szCs w:val="18"/>
              </w:rPr>
              <w:t>精度（</w:t>
            </w:r>
            <w:r>
              <w:rPr>
                <w:rFonts w:ascii="宋体" w:hAnsi="宋体" w:eastAsia="宋体" w:cs="Times New Roman"/>
                <w:kern w:val="0"/>
                <w:sz w:val="18"/>
                <w:szCs w:val="18"/>
              </w:rPr>
              <w:t>%</w:t>
            </w:r>
            <w:r>
              <w:rPr>
                <w:rFonts w:hint="eastAsia" w:ascii="宋体" w:hAnsi="宋体" w:eastAsia="宋体" w:cs="Times New Roman"/>
                <w:kern w:val="0"/>
                <w:sz w:val="18"/>
                <w:szCs w:val="18"/>
              </w:rPr>
              <w:t>）</w:t>
            </w:r>
          </w:p>
        </w:tc>
      </w:tr>
      <w:tr w14:paraId="790324D9">
        <w:tblPrEx>
          <w:tblCellMar>
            <w:top w:w="0" w:type="dxa"/>
            <w:left w:w="108" w:type="dxa"/>
            <w:bottom w:w="0" w:type="dxa"/>
            <w:right w:w="108" w:type="dxa"/>
          </w:tblCellMar>
        </w:tblPrEx>
        <w:trPr>
          <w:trHeight w:val="285" w:hRule="atLeast"/>
          <w:jc w:val="center"/>
        </w:trPr>
        <w:tc>
          <w:tcPr>
            <w:tcW w:w="925" w:type="pct"/>
            <w:tcBorders>
              <w:top w:val="nil"/>
              <w:left w:val="single" w:color="auto" w:sz="2" w:space="0"/>
              <w:bottom w:val="single" w:color="auto" w:sz="2" w:space="0"/>
              <w:right w:val="single" w:color="auto" w:sz="2" w:space="0"/>
            </w:tcBorders>
            <w:vAlign w:val="center"/>
          </w:tcPr>
          <w:p w14:paraId="6C76BB40">
            <w:pPr>
              <w:widowControl w:val="0"/>
              <w:adjustRightInd w:val="0"/>
              <w:spacing w:after="0" w:line="400" w:lineRule="exact"/>
              <w:jc w:val="center"/>
              <w:rPr>
                <w:rFonts w:hint="default" w:ascii="宋体" w:hAnsi="宋体" w:eastAsia="宋体" w:cs="Times New Roman"/>
                <w:kern w:val="0"/>
                <w:sz w:val="18"/>
                <w:szCs w:val="18"/>
                <w:lang w:val="en-US" w:eastAsia="zh-CN"/>
              </w:rPr>
            </w:pPr>
            <w:r>
              <w:rPr>
                <w:rFonts w:hint="eastAsia" w:ascii="宋体" w:hAnsi="宋体" w:eastAsia="宋体" w:cs="Times New Roman"/>
                <w:kern w:val="0"/>
                <w:sz w:val="18"/>
                <w:szCs w:val="18"/>
                <w:lang w:val="en-US" w:eastAsia="zh-CN"/>
              </w:rPr>
              <w:t>55</w:t>
            </w:r>
          </w:p>
        </w:tc>
        <w:tc>
          <w:tcPr>
            <w:tcW w:w="718" w:type="pct"/>
            <w:tcBorders>
              <w:top w:val="nil"/>
              <w:left w:val="single" w:color="auto" w:sz="2" w:space="0"/>
              <w:bottom w:val="single" w:color="auto" w:sz="2" w:space="0"/>
              <w:right w:val="single" w:color="auto" w:sz="2" w:space="0"/>
            </w:tcBorders>
            <w:vAlign w:val="center"/>
          </w:tcPr>
          <w:p w14:paraId="21FA772B">
            <w:pPr>
              <w:widowControl w:val="0"/>
              <w:adjustRightInd w:val="0"/>
              <w:spacing w:after="0" w:line="400" w:lineRule="exact"/>
              <w:jc w:val="center"/>
              <w:rPr>
                <w:rFonts w:hint="eastAsia" w:ascii="宋体" w:hAnsi="宋体" w:eastAsia="宋体" w:cs="Times New Roman"/>
                <w:kern w:val="0"/>
                <w:sz w:val="18"/>
                <w:szCs w:val="18"/>
              </w:rPr>
            </w:pPr>
            <w:r>
              <w:rPr>
                <w:rFonts w:hint="eastAsia" w:ascii="宋体" w:hAnsi="宋体" w:eastAsia="宋体" w:cs="Times New Roman"/>
                <w:kern w:val="0"/>
                <w:sz w:val="18"/>
                <w:szCs w:val="18"/>
                <w:lang w:val="en-US" w:eastAsia="zh-CN"/>
              </w:rPr>
              <w:t>3</w:t>
            </w:r>
            <w:r>
              <w:rPr>
                <w:rFonts w:hint="eastAsia" w:ascii="宋体" w:hAnsi="宋体" w:eastAsia="宋体" w:cs="Times New Roman"/>
                <w:kern w:val="0"/>
                <w:sz w:val="18"/>
                <w:szCs w:val="18"/>
              </w:rPr>
              <w:t>.68</w:t>
            </w:r>
          </w:p>
        </w:tc>
        <w:tc>
          <w:tcPr>
            <w:tcW w:w="902" w:type="pct"/>
            <w:tcBorders>
              <w:top w:val="nil"/>
              <w:left w:val="single" w:color="auto" w:sz="2" w:space="0"/>
              <w:bottom w:val="single" w:color="auto" w:sz="2" w:space="0"/>
              <w:right w:val="single" w:color="auto" w:sz="2" w:space="0"/>
            </w:tcBorders>
            <w:vAlign w:val="center"/>
          </w:tcPr>
          <w:p w14:paraId="20BA7C46">
            <w:pPr>
              <w:widowControl w:val="0"/>
              <w:adjustRightInd w:val="0"/>
              <w:spacing w:after="0" w:line="400" w:lineRule="exact"/>
              <w:jc w:val="center"/>
              <w:rPr>
                <w:rFonts w:hint="default" w:ascii="宋体" w:hAnsi="宋体" w:eastAsia="宋体" w:cs="Times New Roman"/>
                <w:kern w:val="0"/>
                <w:sz w:val="18"/>
                <w:szCs w:val="18"/>
                <w:lang w:val="en-US" w:eastAsia="zh-CN"/>
              </w:rPr>
            </w:pPr>
            <w:r>
              <w:rPr>
                <w:rFonts w:hint="eastAsia" w:ascii="宋体" w:hAnsi="宋体" w:eastAsia="宋体" w:cs="Times New Roman"/>
                <w:kern w:val="0"/>
                <w:sz w:val="18"/>
                <w:szCs w:val="18"/>
                <w:lang w:val="en-US" w:eastAsia="zh-CN"/>
              </w:rPr>
              <w:t>7.60</w:t>
            </w:r>
          </w:p>
        </w:tc>
        <w:tc>
          <w:tcPr>
            <w:tcW w:w="753" w:type="pct"/>
            <w:tcBorders>
              <w:top w:val="nil"/>
              <w:left w:val="single" w:color="auto" w:sz="2" w:space="0"/>
              <w:bottom w:val="single" w:color="auto" w:sz="2" w:space="0"/>
              <w:right w:val="single" w:color="auto" w:sz="2" w:space="0"/>
            </w:tcBorders>
            <w:vAlign w:val="center"/>
          </w:tcPr>
          <w:p w14:paraId="2D3E4021">
            <w:pPr>
              <w:widowControl w:val="0"/>
              <w:adjustRightInd w:val="0"/>
              <w:spacing w:after="0" w:line="400" w:lineRule="exact"/>
              <w:jc w:val="center"/>
              <w:rPr>
                <w:rFonts w:hint="default" w:ascii="宋体" w:hAnsi="宋体" w:eastAsia="宋体" w:cs="Times New Roman"/>
                <w:kern w:val="0"/>
                <w:sz w:val="18"/>
                <w:szCs w:val="18"/>
                <w:lang w:val="en-US" w:eastAsia="zh-CN"/>
              </w:rPr>
            </w:pPr>
            <w:r>
              <w:rPr>
                <w:rFonts w:hint="eastAsia" w:ascii="宋体" w:hAnsi="宋体" w:eastAsia="宋体" w:cs="Times New Roman"/>
                <w:kern w:val="0"/>
                <w:sz w:val="18"/>
                <w:szCs w:val="18"/>
                <w:lang w:val="en-US" w:eastAsia="zh-CN"/>
              </w:rPr>
              <w:t>-1.84</w:t>
            </w:r>
          </w:p>
        </w:tc>
        <w:tc>
          <w:tcPr>
            <w:tcW w:w="937" w:type="pct"/>
            <w:tcBorders>
              <w:top w:val="nil"/>
              <w:left w:val="single" w:color="auto" w:sz="2" w:space="0"/>
              <w:bottom w:val="single" w:color="auto" w:sz="2" w:space="0"/>
              <w:right w:val="single" w:color="auto" w:sz="2" w:space="0"/>
            </w:tcBorders>
            <w:vAlign w:val="center"/>
          </w:tcPr>
          <w:p w14:paraId="482EFC64">
            <w:pPr>
              <w:widowControl w:val="0"/>
              <w:adjustRightInd w:val="0"/>
              <w:spacing w:after="0" w:line="400" w:lineRule="exact"/>
              <w:jc w:val="center"/>
              <w:rPr>
                <w:rFonts w:hint="default" w:ascii="宋体" w:hAnsi="宋体" w:eastAsia="宋体" w:cs="Times New Roman"/>
                <w:kern w:val="0"/>
                <w:sz w:val="18"/>
                <w:szCs w:val="18"/>
                <w:lang w:val="en-US" w:eastAsia="zh-CN"/>
              </w:rPr>
            </w:pPr>
            <w:r>
              <w:rPr>
                <w:rFonts w:hint="eastAsia" w:ascii="宋体" w:hAnsi="宋体" w:eastAsia="宋体" w:cs="Times New Roman"/>
                <w:kern w:val="0"/>
                <w:sz w:val="18"/>
                <w:szCs w:val="18"/>
                <w:lang w:val="en-US" w:eastAsia="zh-CN"/>
              </w:rPr>
              <w:t>13.82</w:t>
            </w:r>
          </w:p>
        </w:tc>
        <w:tc>
          <w:tcPr>
            <w:tcW w:w="760" w:type="pct"/>
            <w:tcBorders>
              <w:top w:val="nil"/>
              <w:left w:val="single" w:color="auto" w:sz="2" w:space="0"/>
              <w:bottom w:val="single" w:color="auto" w:sz="2" w:space="0"/>
              <w:right w:val="single" w:color="auto" w:sz="8" w:space="0"/>
            </w:tcBorders>
            <w:vAlign w:val="center"/>
          </w:tcPr>
          <w:p w14:paraId="4D957054">
            <w:pPr>
              <w:widowControl w:val="0"/>
              <w:adjustRightInd w:val="0"/>
              <w:spacing w:after="0" w:line="400" w:lineRule="exact"/>
              <w:jc w:val="center"/>
              <w:rPr>
                <w:rFonts w:hint="eastAsia" w:ascii="宋体" w:hAnsi="宋体" w:eastAsia="宋体" w:cs="Times New Roman"/>
                <w:kern w:val="0"/>
                <w:sz w:val="18"/>
                <w:szCs w:val="18"/>
              </w:rPr>
            </w:pPr>
            <w:r>
              <w:rPr>
                <w:rFonts w:hint="eastAsia" w:ascii="宋体" w:hAnsi="宋体" w:eastAsia="宋体" w:cs="Times New Roman"/>
                <w:color w:val="000000"/>
                <w:kern w:val="0"/>
                <w:sz w:val="18"/>
                <w:szCs w:val="18"/>
              </w:rPr>
              <w:t>9</w:t>
            </w:r>
            <w:r>
              <w:rPr>
                <w:rFonts w:hint="eastAsia" w:ascii="宋体" w:hAnsi="宋体" w:eastAsia="宋体" w:cs="Times New Roman"/>
                <w:color w:val="000000"/>
                <w:kern w:val="0"/>
                <w:sz w:val="18"/>
                <w:szCs w:val="18"/>
                <w:lang w:val="en-US" w:eastAsia="zh-CN"/>
              </w:rPr>
              <w:t>0</w:t>
            </w:r>
            <w:r>
              <w:rPr>
                <w:rFonts w:hint="eastAsia" w:ascii="宋体" w:hAnsi="宋体" w:eastAsia="宋体" w:cs="Times New Roman"/>
                <w:color w:val="000000"/>
                <w:kern w:val="0"/>
                <w:sz w:val="18"/>
                <w:szCs w:val="18"/>
              </w:rPr>
              <w:t>.5</w:t>
            </w:r>
          </w:p>
        </w:tc>
      </w:tr>
    </w:tbl>
    <w:p w14:paraId="4F91F3A4">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jc w:val="left"/>
        <w:textAlignment w:val="auto"/>
        <w:rPr>
          <w:rFonts w:hint="eastAsia" w:ascii="仿宋" w:hAnsi="仿宋" w:eastAsia="仿宋" w:cs="仿宋"/>
          <w:sz w:val="32"/>
          <w:szCs w:val="32"/>
        </w:rPr>
      </w:pPr>
      <w:r>
        <w:rPr>
          <w:rFonts w:hint="eastAsia" w:ascii="仿宋" w:hAnsi="仿宋" w:eastAsia="仿宋" w:cs="仿宋"/>
          <w:sz w:val="32"/>
          <w:szCs w:val="32"/>
        </w:rPr>
        <w:t>4. 含碳系数测定结果</w:t>
      </w:r>
    </w:p>
    <w:p w14:paraId="1D3DF6AC">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对栎类各器官进行取样，采用碳氮分析仪测定其含碳系数，见表7。</w:t>
      </w:r>
    </w:p>
    <w:p w14:paraId="02827F8D">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jc w:val="center"/>
        <w:textAlignment w:val="auto"/>
        <w:rPr>
          <w:rFonts w:hint="eastAsia" w:ascii="仿宋" w:hAnsi="仿宋" w:eastAsia="仿宋" w:cs="仿宋"/>
          <w:sz w:val="32"/>
          <w:szCs w:val="32"/>
        </w:rPr>
      </w:pPr>
      <w:r>
        <w:rPr>
          <w:rFonts w:hint="eastAsia" w:ascii="仿宋" w:hAnsi="仿宋" w:eastAsia="仿宋" w:cs="仿宋"/>
          <w:sz w:val="32"/>
          <w:szCs w:val="32"/>
        </w:rPr>
        <w:t>表7 栎类各器官含碳系数</w:t>
      </w:r>
    </w:p>
    <w:tbl>
      <w:tblPr>
        <w:tblStyle w:val="19"/>
        <w:tblW w:w="4998" w:type="pct"/>
        <w:tblInd w:w="0" w:type="dxa"/>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192"/>
        <w:gridCol w:w="1187"/>
        <w:gridCol w:w="918"/>
        <w:gridCol w:w="921"/>
        <w:gridCol w:w="921"/>
        <w:gridCol w:w="921"/>
        <w:gridCol w:w="921"/>
        <w:gridCol w:w="922"/>
        <w:gridCol w:w="949"/>
      </w:tblGrid>
      <w:tr w14:paraId="096C87AF">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8" w:hRule="atLeast"/>
        </w:trPr>
        <w:tc>
          <w:tcPr>
            <w:tcW w:w="673" w:type="pct"/>
            <w:tcBorders>
              <w:bottom w:val="single" w:color="008000" w:sz="12" w:space="0"/>
            </w:tcBorders>
            <w:vAlign w:val="center"/>
          </w:tcPr>
          <w:p w14:paraId="5905A40F">
            <w:pPr>
              <w:widowControl w:val="0"/>
              <w:adjustRightInd w:val="0"/>
              <w:spacing w:after="0" w:line="400" w:lineRule="exact"/>
              <w:jc w:val="center"/>
              <w:rPr>
                <w:rFonts w:hint="eastAsia" w:ascii="宋体" w:hAnsi="宋体" w:eastAsia="宋体" w:cs="宋体"/>
                <w:color w:val="000000"/>
                <w:kern w:val="2"/>
                <w:sz w:val="18"/>
                <w:szCs w:val="18"/>
              </w:rPr>
            </w:pPr>
            <w:r>
              <w:rPr>
                <w:rFonts w:hint="eastAsia" w:ascii="宋体" w:hAnsi="宋体" w:eastAsia="宋体" w:cs="宋体"/>
                <w:kern w:val="2"/>
                <w:sz w:val="18"/>
                <w:szCs w:val="18"/>
              </w:rPr>
              <w:t>样本数</w:t>
            </w:r>
          </w:p>
        </w:tc>
        <w:tc>
          <w:tcPr>
            <w:tcW w:w="670" w:type="pct"/>
            <w:tcBorders>
              <w:bottom w:val="single" w:color="008000" w:sz="12" w:space="0"/>
            </w:tcBorders>
            <w:noWrap/>
            <w:vAlign w:val="center"/>
          </w:tcPr>
          <w:p w14:paraId="4873CBC9">
            <w:pPr>
              <w:widowControl w:val="0"/>
              <w:adjustRightInd w:val="0"/>
              <w:spacing w:after="0" w:line="400" w:lineRule="exact"/>
              <w:jc w:val="center"/>
              <w:rPr>
                <w:rFonts w:hint="eastAsia" w:ascii="宋体" w:hAnsi="宋体" w:eastAsia="宋体" w:cs="宋体"/>
                <w:color w:val="000000"/>
                <w:kern w:val="2"/>
                <w:sz w:val="18"/>
                <w:szCs w:val="18"/>
              </w:rPr>
            </w:pPr>
            <w:r>
              <w:rPr>
                <w:rFonts w:hint="eastAsia" w:ascii="宋体" w:hAnsi="宋体" w:eastAsia="宋体" w:cs="宋体"/>
                <w:color w:val="000000"/>
                <w:kern w:val="2"/>
                <w:sz w:val="18"/>
                <w:szCs w:val="18"/>
              </w:rPr>
              <w:t>地上</w:t>
            </w:r>
          </w:p>
        </w:tc>
        <w:tc>
          <w:tcPr>
            <w:tcW w:w="518" w:type="pct"/>
            <w:tcBorders>
              <w:bottom w:val="single" w:color="008000" w:sz="12" w:space="0"/>
            </w:tcBorders>
            <w:vAlign w:val="center"/>
          </w:tcPr>
          <w:p w14:paraId="1D5DACEC">
            <w:pPr>
              <w:widowControl w:val="0"/>
              <w:adjustRightInd w:val="0"/>
              <w:spacing w:after="0" w:line="400" w:lineRule="exact"/>
              <w:jc w:val="center"/>
              <w:rPr>
                <w:rFonts w:hint="eastAsia" w:ascii="宋体" w:hAnsi="宋体" w:eastAsia="宋体" w:cs="宋体"/>
                <w:kern w:val="2"/>
                <w:sz w:val="18"/>
                <w:szCs w:val="18"/>
              </w:rPr>
            </w:pPr>
            <w:r>
              <w:rPr>
                <w:rFonts w:hint="eastAsia" w:ascii="宋体" w:hAnsi="宋体" w:eastAsia="宋体" w:cs="宋体"/>
                <w:kern w:val="2"/>
                <w:sz w:val="18"/>
                <w:szCs w:val="18"/>
              </w:rPr>
              <w:t>地下</w:t>
            </w:r>
          </w:p>
        </w:tc>
        <w:tc>
          <w:tcPr>
            <w:tcW w:w="520" w:type="pct"/>
            <w:tcBorders>
              <w:bottom w:val="single" w:color="008000" w:sz="12" w:space="0"/>
            </w:tcBorders>
            <w:vAlign w:val="center"/>
          </w:tcPr>
          <w:p w14:paraId="2DBF977A">
            <w:pPr>
              <w:widowControl w:val="0"/>
              <w:adjustRightInd w:val="0"/>
              <w:spacing w:after="0" w:line="400" w:lineRule="exact"/>
              <w:jc w:val="center"/>
              <w:rPr>
                <w:rFonts w:hint="eastAsia" w:ascii="宋体" w:hAnsi="宋体" w:eastAsia="宋体" w:cs="宋体"/>
                <w:kern w:val="2"/>
                <w:sz w:val="18"/>
                <w:szCs w:val="18"/>
              </w:rPr>
            </w:pPr>
            <w:r>
              <w:rPr>
                <w:rFonts w:hint="eastAsia" w:ascii="宋体" w:hAnsi="宋体" w:eastAsia="宋体" w:cs="宋体"/>
                <w:kern w:val="2"/>
                <w:sz w:val="18"/>
                <w:szCs w:val="18"/>
              </w:rPr>
              <w:t>干材</w:t>
            </w:r>
          </w:p>
        </w:tc>
        <w:tc>
          <w:tcPr>
            <w:tcW w:w="520" w:type="pct"/>
            <w:tcBorders>
              <w:bottom w:val="single" w:color="008000" w:sz="12" w:space="0"/>
            </w:tcBorders>
            <w:noWrap/>
            <w:vAlign w:val="center"/>
          </w:tcPr>
          <w:p w14:paraId="2A22F093">
            <w:pPr>
              <w:widowControl w:val="0"/>
              <w:adjustRightInd w:val="0"/>
              <w:spacing w:after="0" w:line="400" w:lineRule="exact"/>
              <w:jc w:val="center"/>
              <w:rPr>
                <w:rFonts w:hint="eastAsia" w:ascii="宋体" w:hAnsi="宋体" w:eastAsia="宋体" w:cs="宋体"/>
                <w:color w:val="000000"/>
                <w:kern w:val="2"/>
                <w:sz w:val="18"/>
                <w:szCs w:val="18"/>
              </w:rPr>
            </w:pPr>
            <w:r>
              <w:rPr>
                <w:rFonts w:hint="eastAsia" w:ascii="宋体" w:hAnsi="宋体" w:eastAsia="宋体" w:cs="宋体"/>
                <w:color w:val="000000"/>
                <w:kern w:val="2"/>
                <w:sz w:val="18"/>
                <w:szCs w:val="18"/>
              </w:rPr>
              <w:t>干皮</w:t>
            </w:r>
          </w:p>
        </w:tc>
        <w:tc>
          <w:tcPr>
            <w:tcW w:w="520" w:type="pct"/>
            <w:tcBorders>
              <w:bottom w:val="single" w:color="008000" w:sz="12" w:space="0"/>
            </w:tcBorders>
            <w:vAlign w:val="center"/>
          </w:tcPr>
          <w:p w14:paraId="1973F54C">
            <w:pPr>
              <w:widowControl w:val="0"/>
              <w:adjustRightInd w:val="0"/>
              <w:spacing w:after="0" w:line="400" w:lineRule="exact"/>
              <w:jc w:val="center"/>
              <w:rPr>
                <w:rFonts w:hint="eastAsia" w:ascii="宋体" w:hAnsi="宋体" w:eastAsia="宋体" w:cs="宋体"/>
                <w:kern w:val="2"/>
                <w:sz w:val="18"/>
                <w:szCs w:val="18"/>
              </w:rPr>
            </w:pPr>
            <w:r>
              <w:rPr>
                <w:rFonts w:hint="eastAsia" w:ascii="宋体" w:hAnsi="宋体" w:eastAsia="宋体" w:cs="宋体"/>
                <w:kern w:val="2"/>
                <w:sz w:val="18"/>
                <w:szCs w:val="18"/>
              </w:rPr>
              <w:t>树枝</w:t>
            </w:r>
          </w:p>
        </w:tc>
        <w:tc>
          <w:tcPr>
            <w:tcW w:w="520" w:type="pct"/>
            <w:tcBorders>
              <w:bottom w:val="single" w:color="008000" w:sz="12" w:space="0"/>
            </w:tcBorders>
            <w:noWrap/>
            <w:vAlign w:val="center"/>
          </w:tcPr>
          <w:p w14:paraId="10961970">
            <w:pPr>
              <w:widowControl w:val="0"/>
              <w:adjustRightInd w:val="0"/>
              <w:spacing w:after="0" w:line="400" w:lineRule="exact"/>
              <w:jc w:val="center"/>
              <w:rPr>
                <w:rFonts w:hint="eastAsia" w:ascii="宋体" w:hAnsi="宋体" w:eastAsia="宋体" w:cs="宋体"/>
                <w:color w:val="000000"/>
                <w:kern w:val="2"/>
                <w:sz w:val="18"/>
                <w:szCs w:val="18"/>
              </w:rPr>
            </w:pPr>
            <w:r>
              <w:rPr>
                <w:rFonts w:hint="eastAsia" w:ascii="宋体" w:hAnsi="宋体" w:eastAsia="宋体" w:cs="宋体"/>
                <w:kern w:val="2"/>
                <w:sz w:val="18"/>
                <w:szCs w:val="18"/>
              </w:rPr>
              <w:t>树叶</w:t>
            </w:r>
          </w:p>
        </w:tc>
        <w:tc>
          <w:tcPr>
            <w:tcW w:w="520" w:type="pct"/>
            <w:tcBorders>
              <w:bottom w:val="single" w:color="008000" w:sz="12" w:space="0"/>
            </w:tcBorders>
            <w:noWrap/>
            <w:vAlign w:val="center"/>
          </w:tcPr>
          <w:p w14:paraId="695A9355">
            <w:pPr>
              <w:widowControl w:val="0"/>
              <w:adjustRightInd w:val="0"/>
              <w:spacing w:after="0" w:line="400" w:lineRule="exact"/>
              <w:jc w:val="center"/>
              <w:rPr>
                <w:rFonts w:hint="eastAsia" w:ascii="宋体" w:hAnsi="宋体" w:eastAsia="宋体" w:cs="宋体"/>
                <w:color w:val="000000"/>
                <w:kern w:val="2"/>
                <w:sz w:val="18"/>
                <w:szCs w:val="18"/>
              </w:rPr>
            </w:pPr>
            <w:r>
              <w:rPr>
                <w:rFonts w:hint="eastAsia" w:ascii="宋体" w:hAnsi="宋体" w:eastAsia="宋体" w:cs="宋体"/>
                <w:kern w:val="2"/>
                <w:sz w:val="18"/>
                <w:szCs w:val="18"/>
              </w:rPr>
              <w:t>树根</w:t>
            </w:r>
          </w:p>
        </w:tc>
        <w:tc>
          <w:tcPr>
            <w:tcW w:w="535" w:type="pct"/>
            <w:tcBorders>
              <w:bottom w:val="single" w:color="008000" w:sz="12" w:space="0"/>
            </w:tcBorders>
            <w:noWrap/>
            <w:vAlign w:val="center"/>
          </w:tcPr>
          <w:p w14:paraId="52D3262E">
            <w:pPr>
              <w:widowControl w:val="0"/>
              <w:adjustRightInd w:val="0"/>
              <w:spacing w:after="0" w:line="400" w:lineRule="exact"/>
              <w:jc w:val="center"/>
              <w:rPr>
                <w:rFonts w:hint="eastAsia" w:ascii="宋体" w:hAnsi="宋体" w:eastAsia="宋体" w:cs="宋体"/>
                <w:color w:val="000000"/>
                <w:kern w:val="2"/>
                <w:sz w:val="18"/>
                <w:szCs w:val="18"/>
              </w:rPr>
            </w:pPr>
            <w:r>
              <w:rPr>
                <w:rFonts w:hint="eastAsia" w:ascii="宋体" w:hAnsi="宋体" w:eastAsia="宋体" w:cs="宋体"/>
                <w:kern w:val="2"/>
                <w:sz w:val="18"/>
                <w:szCs w:val="18"/>
              </w:rPr>
              <w:t>总体</w:t>
            </w:r>
          </w:p>
        </w:tc>
      </w:tr>
      <w:tr w14:paraId="51BC3154">
        <w:tblPrEx>
          <w:tblBorders>
            <w:top w:val="single" w:color="008000" w:sz="12" w:space="0"/>
            <w:left w:val="none" w:color="auto" w:sz="0" w:space="0"/>
            <w:bottom w:val="single" w:color="008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673" w:type="pct"/>
            <w:vAlign w:val="center"/>
          </w:tcPr>
          <w:p w14:paraId="239DF74E">
            <w:pPr>
              <w:widowControl w:val="0"/>
              <w:adjustRightInd w:val="0"/>
              <w:spacing w:after="0" w:line="400" w:lineRule="exact"/>
              <w:jc w:val="center"/>
              <w:rPr>
                <w:rFonts w:hint="eastAsia" w:ascii="宋体" w:hAnsi="宋体" w:eastAsia="宋体" w:cs="宋体"/>
                <w:color w:val="000000"/>
                <w:kern w:val="2"/>
                <w:sz w:val="18"/>
                <w:szCs w:val="18"/>
              </w:rPr>
            </w:pPr>
            <w:r>
              <w:rPr>
                <w:rFonts w:hint="eastAsia" w:ascii="宋体" w:hAnsi="宋体" w:eastAsia="宋体" w:cs="宋体"/>
                <w:color w:val="000000"/>
                <w:kern w:val="2"/>
                <w:sz w:val="18"/>
                <w:szCs w:val="18"/>
              </w:rPr>
              <w:t>30</w:t>
            </w:r>
          </w:p>
        </w:tc>
        <w:tc>
          <w:tcPr>
            <w:tcW w:w="670" w:type="pct"/>
            <w:noWrap/>
            <w:vAlign w:val="center"/>
          </w:tcPr>
          <w:p w14:paraId="7E251DAF">
            <w:pPr>
              <w:widowControl w:val="0"/>
              <w:adjustRightInd w:val="0"/>
              <w:spacing w:after="0" w:line="400" w:lineRule="exact"/>
              <w:jc w:val="center"/>
              <w:rPr>
                <w:rFonts w:hint="eastAsia" w:ascii="宋体" w:hAnsi="宋体" w:eastAsia="宋体" w:cs="宋体"/>
                <w:color w:val="000000"/>
                <w:kern w:val="2"/>
                <w:sz w:val="18"/>
                <w:szCs w:val="18"/>
              </w:rPr>
            </w:pPr>
            <w:r>
              <w:rPr>
                <w:rFonts w:hint="eastAsia" w:ascii="宋体" w:hAnsi="宋体" w:eastAsia="宋体" w:cs="宋体"/>
                <w:color w:val="000000"/>
                <w:kern w:val="2"/>
                <w:sz w:val="18"/>
                <w:szCs w:val="18"/>
              </w:rPr>
              <w:t>50.88</w:t>
            </w:r>
          </w:p>
        </w:tc>
        <w:tc>
          <w:tcPr>
            <w:tcW w:w="518" w:type="pct"/>
            <w:vAlign w:val="center"/>
          </w:tcPr>
          <w:p w14:paraId="70F0C52C">
            <w:pPr>
              <w:widowControl w:val="0"/>
              <w:adjustRightInd w:val="0"/>
              <w:spacing w:after="0" w:line="400" w:lineRule="exact"/>
              <w:jc w:val="center"/>
              <w:rPr>
                <w:rFonts w:hint="eastAsia" w:ascii="宋体" w:hAnsi="宋体" w:eastAsia="宋体" w:cs="宋体"/>
                <w:color w:val="000000"/>
                <w:kern w:val="2"/>
                <w:sz w:val="18"/>
                <w:szCs w:val="18"/>
              </w:rPr>
            </w:pPr>
            <w:r>
              <w:rPr>
                <w:rFonts w:hint="eastAsia" w:ascii="宋体" w:hAnsi="宋体" w:eastAsia="宋体" w:cs="宋体"/>
                <w:color w:val="000000"/>
                <w:kern w:val="2"/>
                <w:sz w:val="18"/>
                <w:szCs w:val="18"/>
              </w:rPr>
              <w:t>45.97</w:t>
            </w:r>
          </w:p>
        </w:tc>
        <w:tc>
          <w:tcPr>
            <w:tcW w:w="520" w:type="pct"/>
            <w:vAlign w:val="center"/>
          </w:tcPr>
          <w:p w14:paraId="5FC919E6">
            <w:pPr>
              <w:widowControl w:val="0"/>
              <w:adjustRightInd w:val="0"/>
              <w:spacing w:after="0" w:line="400" w:lineRule="exact"/>
              <w:jc w:val="center"/>
              <w:rPr>
                <w:rFonts w:hint="eastAsia" w:ascii="宋体" w:hAnsi="宋体" w:eastAsia="宋体" w:cs="宋体"/>
                <w:color w:val="000000"/>
                <w:kern w:val="2"/>
                <w:sz w:val="18"/>
                <w:szCs w:val="18"/>
              </w:rPr>
            </w:pPr>
            <w:r>
              <w:rPr>
                <w:rFonts w:hint="eastAsia" w:ascii="宋体" w:hAnsi="宋体" w:eastAsia="宋体" w:cs="宋体"/>
                <w:color w:val="000000"/>
                <w:kern w:val="2"/>
                <w:sz w:val="18"/>
                <w:szCs w:val="18"/>
              </w:rPr>
              <w:t>50.30</w:t>
            </w:r>
          </w:p>
        </w:tc>
        <w:tc>
          <w:tcPr>
            <w:tcW w:w="520" w:type="pct"/>
            <w:noWrap/>
            <w:vAlign w:val="center"/>
          </w:tcPr>
          <w:p w14:paraId="40F38291">
            <w:pPr>
              <w:widowControl w:val="0"/>
              <w:adjustRightInd w:val="0"/>
              <w:spacing w:after="0" w:line="400" w:lineRule="exact"/>
              <w:jc w:val="center"/>
              <w:rPr>
                <w:rFonts w:hint="eastAsia" w:ascii="宋体" w:hAnsi="宋体" w:eastAsia="宋体" w:cs="宋体"/>
                <w:color w:val="000000"/>
                <w:kern w:val="2"/>
                <w:sz w:val="18"/>
                <w:szCs w:val="18"/>
              </w:rPr>
            </w:pPr>
            <w:r>
              <w:rPr>
                <w:rFonts w:hint="eastAsia" w:ascii="宋体" w:hAnsi="宋体" w:eastAsia="宋体" w:cs="宋体"/>
                <w:color w:val="000000"/>
                <w:kern w:val="2"/>
                <w:sz w:val="18"/>
                <w:szCs w:val="18"/>
              </w:rPr>
              <w:t>54.37</w:t>
            </w:r>
          </w:p>
        </w:tc>
        <w:tc>
          <w:tcPr>
            <w:tcW w:w="520" w:type="pct"/>
            <w:vAlign w:val="center"/>
          </w:tcPr>
          <w:p w14:paraId="58E4D1BC">
            <w:pPr>
              <w:widowControl w:val="0"/>
              <w:adjustRightInd w:val="0"/>
              <w:spacing w:after="0" w:line="400" w:lineRule="exact"/>
              <w:jc w:val="center"/>
              <w:rPr>
                <w:rFonts w:hint="eastAsia" w:ascii="宋体" w:hAnsi="宋体" w:eastAsia="宋体" w:cs="宋体"/>
                <w:color w:val="000000"/>
                <w:kern w:val="2"/>
                <w:sz w:val="18"/>
                <w:szCs w:val="18"/>
              </w:rPr>
            </w:pPr>
            <w:r>
              <w:rPr>
                <w:rFonts w:hint="eastAsia" w:ascii="宋体" w:hAnsi="宋体" w:eastAsia="宋体" w:cs="宋体"/>
                <w:color w:val="000000"/>
                <w:kern w:val="2"/>
                <w:sz w:val="18"/>
                <w:szCs w:val="18"/>
              </w:rPr>
              <w:t>48.98</w:t>
            </w:r>
          </w:p>
        </w:tc>
        <w:tc>
          <w:tcPr>
            <w:tcW w:w="520" w:type="pct"/>
            <w:noWrap/>
            <w:vAlign w:val="center"/>
          </w:tcPr>
          <w:p w14:paraId="5D4F0A10">
            <w:pPr>
              <w:widowControl w:val="0"/>
              <w:adjustRightInd w:val="0"/>
              <w:spacing w:after="0" w:line="400" w:lineRule="exact"/>
              <w:jc w:val="center"/>
              <w:rPr>
                <w:rFonts w:hint="eastAsia" w:ascii="宋体" w:hAnsi="宋体" w:eastAsia="宋体" w:cs="宋体"/>
                <w:color w:val="000000"/>
                <w:kern w:val="2"/>
                <w:sz w:val="18"/>
                <w:szCs w:val="18"/>
              </w:rPr>
            </w:pPr>
            <w:r>
              <w:rPr>
                <w:rFonts w:hint="eastAsia" w:ascii="宋体" w:hAnsi="宋体" w:eastAsia="宋体" w:cs="宋体"/>
                <w:color w:val="000000"/>
                <w:kern w:val="2"/>
                <w:sz w:val="18"/>
                <w:szCs w:val="18"/>
              </w:rPr>
              <w:t>49.88</w:t>
            </w:r>
          </w:p>
        </w:tc>
        <w:tc>
          <w:tcPr>
            <w:tcW w:w="520" w:type="pct"/>
            <w:noWrap/>
            <w:vAlign w:val="center"/>
          </w:tcPr>
          <w:p w14:paraId="3C41EFD0">
            <w:pPr>
              <w:widowControl w:val="0"/>
              <w:adjustRightInd w:val="0"/>
              <w:spacing w:after="0" w:line="400" w:lineRule="exact"/>
              <w:jc w:val="center"/>
              <w:rPr>
                <w:rFonts w:hint="eastAsia" w:ascii="宋体" w:hAnsi="宋体" w:eastAsia="宋体" w:cs="宋体"/>
                <w:color w:val="000000"/>
                <w:kern w:val="2"/>
                <w:sz w:val="18"/>
                <w:szCs w:val="18"/>
              </w:rPr>
            </w:pPr>
            <w:r>
              <w:rPr>
                <w:rFonts w:hint="eastAsia" w:ascii="宋体" w:hAnsi="宋体" w:eastAsia="宋体" w:cs="宋体"/>
                <w:color w:val="000000"/>
                <w:kern w:val="2"/>
                <w:sz w:val="18"/>
                <w:szCs w:val="18"/>
              </w:rPr>
              <w:t>45.97</w:t>
            </w:r>
          </w:p>
        </w:tc>
        <w:tc>
          <w:tcPr>
            <w:tcW w:w="535" w:type="pct"/>
            <w:noWrap/>
            <w:vAlign w:val="center"/>
          </w:tcPr>
          <w:p w14:paraId="4899DCE6">
            <w:pPr>
              <w:widowControl w:val="0"/>
              <w:adjustRightInd w:val="0"/>
              <w:spacing w:after="0" w:line="400" w:lineRule="exact"/>
              <w:jc w:val="center"/>
              <w:rPr>
                <w:rFonts w:hint="eastAsia" w:ascii="宋体" w:hAnsi="宋体" w:eastAsia="宋体" w:cs="宋体"/>
                <w:color w:val="000000"/>
                <w:kern w:val="2"/>
                <w:sz w:val="18"/>
                <w:szCs w:val="18"/>
              </w:rPr>
            </w:pPr>
            <w:r>
              <w:rPr>
                <w:rFonts w:hint="eastAsia" w:ascii="宋体" w:hAnsi="宋体" w:eastAsia="宋体" w:cs="宋体"/>
                <w:color w:val="000000"/>
                <w:kern w:val="2"/>
                <w:sz w:val="18"/>
                <w:szCs w:val="18"/>
              </w:rPr>
              <w:t>48.43</w:t>
            </w:r>
          </w:p>
        </w:tc>
      </w:tr>
    </w:tbl>
    <w:p w14:paraId="4123AC9C">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测定结果表明，栎类各器官含碳系数存在一定差异，其中干皮含碳系数最高（54.37%） ，地下部分（含树根）最低（45.97%） ，总体平均含碳系数为48.43% 。与传统采用的经验系数0.45或0.5相比，本测定结果反映了栎类各部位间的含碳系数差异，可为栎类碳储量估算提供更准确的参数依据。</w:t>
      </w:r>
    </w:p>
    <w:p w14:paraId="5B97689E">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jc w:val="left"/>
        <w:textAlignment w:val="auto"/>
        <w:rPr>
          <w:rFonts w:hint="eastAsia" w:ascii="仿宋" w:hAnsi="仿宋" w:eastAsia="仿宋" w:cs="仿宋"/>
          <w:sz w:val="32"/>
          <w:szCs w:val="32"/>
        </w:rPr>
      </w:pPr>
      <w:r>
        <w:rPr>
          <w:rFonts w:hint="eastAsia" w:ascii="仿宋" w:hAnsi="仿宋" w:eastAsia="仿宋" w:cs="仿宋"/>
          <w:sz w:val="32"/>
          <w:szCs w:val="32"/>
        </w:rPr>
        <w:t>5. 模型评价</w:t>
      </w:r>
    </w:p>
    <w:p w14:paraId="2A7C0DDA">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模型评价采用调整后确定系数（Ra²）、平均预估误差（MPE）、平均绝对误差（MAE）和预测精度（P%）等指标，具体计算公式见标准文本第3章。各模型评价结果见表4—表6（见前文）。地上生物量模型精度为91.0%，地下生物量模型精度为89.5%，相容性生物量模型精度为90.5% ，MPE均小于10%，模型精度满足森林碳汇计量要求（一般要求精度≥85%）。</w:t>
      </w:r>
    </w:p>
    <w:p w14:paraId="4E4E0332">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jc w:val="left"/>
        <w:textAlignment w:val="auto"/>
        <w:rPr>
          <w:rFonts w:hint="eastAsia" w:ascii="仿宋" w:hAnsi="仿宋" w:eastAsia="仿宋" w:cs="仿宋"/>
          <w:sz w:val="32"/>
          <w:szCs w:val="32"/>
        </w:rPr>
      </w:pPr>
      <w:r>
        <w:rPr>
          <w:rFonts w:hint="eastAsia" w:ascii="楷体" w:hAnsi="楷体" w:eastAsia="楷体" w:cs="楷体"/>
          <w:sz w:val="32"/>
          <w:szCs w:val="32"/>
        </w:rPr>
        <w:t>（二）本标准的应用与验证</w:t>
      </w:r>
    </w:p>
    <w:p w14:paraId="68E75056">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本标准适用于黑龙江省林区栎类立木及林分碳储量的估算（与标准文本第1章“范围”一致）。应用时，使用者应根据调查区域栎类林类型和树种组成，选取本标准第4章给出的相应生物量模型（二元模型或相容性模型），结合外业调查的胸径（D）、树高（H）及含碳系数（表7）等参数，完成从单株到林分尺度的碳储量计算。</w:t>
      </w:r>
    </w:p>
    <w:p w14:paraId="10F9399B">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验证时采用独立样地对比法，选取未参与建模的典型栎类样地（不少于30块），将模型估算结果与实测生物量进行对比，计算总相对误差（TRE）和平均预估误差（MPE）。当模型决定系数R²大于0.85、|TRE|小于5%、MPE小于10% 时，判定模型精度满足应用要求。本标准模型经独立样本验证，各项指标均符合上述标准。</w:t>
      </w:r>
    </w:p>
    <w:p w14:paraId="5452C682">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jc w:val="left"/>
        <w:textAlignment w:val="auto"/>
        <w:rPr>
          <w:rFonts w:hint="eastAsia" w:ascii="楷体" w:hAnsi="楷体" w:eastAsia="楷体" w:cs="楷体"/>
          <w:sz w:val="32"/>
          <w:szCs w:val="32"/>
        </w:rPr>
      </w:pPr>
      <w:r>
        <w:rPr>
          <w:rFonts w:hint="eastAsia" w:ascii="楷体" w:hAnsi="楷体" w:eastAsia="楷体" w:cs="楷体"/>
          <w:sz w:val="32"/>
          <w:szCs w:val="32"/>
        </w:rPr>
        <w:t>（三）预期经济效果</w:t>
      </w:r>
    </w:p>
    <w:p w14:paraId="794DD640">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本标准的实施将产生以下预期经济效果：</w:t>
      </w:r>
    </w:p>
    <w:p w14:paraId="16E3A802">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一是降低碳汇计量成本。给出可直接应用的生物量模型和含碳系数，基层技术人员无需重复建模和实验测定，大幅减少外业调查和实验分析工作量。</w:t>
      </w:r>
    </w:p>
    <w:p w14:paraId="23A14A60">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二是挖掘栎类资源碳汇潜力。黑龙江省栎类林资源丰富，蒙古栎是全省天然次生林的优势树种之一，本标准的实施有助于准确掌握栎类林碳储量现状，为碳汇项目开发提供技术依据。</w:t>
      </w:r>
    </w:p>
    <w:p w14:paraId="154105B4">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三是支撑绿碳交易发展。提供栎类碳储量的高精度估算方法，使栎类林碳汇能够纳入“龙江绿碳”交易体系，实现生态资源价值转化，促进黑龙江省林业碳汇经济发展。</w:t>
      </w:r>
    </w:p>
    <w:p w14:paraId="74EB5DCA">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jc w:val="left"/>
        <w:textAlignment w:val="auto"/>
        <w:rPr>
          <w:rFonts w:hint="eastAsia" w:ascii="黑体" w:hAnsi="黑体" w:eastAsia="黑体" w:cs="黑体"/>
          <w:sz w:val="32"/>
          <w:szCs w:val="32"/>
        </w:rPr>
      </w:pPr>
      <w:r>
        <w:rPr>
          <w:rFonts w:hint="eastAsia" w:ascii="黑体" w:hAnsi="黑体" w:eastAsia="黑体" w:cs="黑体"/>
          <w:sz w:val="32"/>
          <w:szCs w:val="32"/>
        </w:rPr>
        <w:t>五、与现行法律、法规和政策及相关标准的关系</w:t>
      </w:r>
    </w:p>
    <w:p w14:paraId="13DFCDEB">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本标准编制依据现行法律、法规和国家强制性标准，与这些文件中的规定不存在矛盾。</w:t>
      </w:r>
    </w:p>
    <w:p w14:paraId="59C96CDF">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本标准与GB/T 43648—2024《主要树种立木生物量模型与碳计量参数》、LY/T 2658—2016《立木生物量模型及碳计量参数——栎树》等国家标准和行业标准相协调，是在上述标准框架下针对黑龙江省区域特点的细化和补充。</w:t>
      </w:r>
    </w:p>
    <w:p w14:paraId="38377D8D">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jc w:val="left"/>
        <w:textAlignment w:val="auto"/>
        <w:rPr>
          <w:rFonts w:hint="eastAsia" w:ascii="仿宋" w:hAnsi="仿宋" w:eastAsia="仿宋" w:cs="仿宋"/>
          <w:sz w:val="32"/>
          <w:szCs w:val="32"/>
        </w:rPr>
      </w:pPr>
      <w:r>
        <w:rPr>
          <w:rFonts w:hint="eastAsia" w:ascii="黑体" w:hAnsi="黑体" w:eastAsia="黑体" w:cs="黑体"/>
          <w:sz w:val="32"/>
          <w:szCs w:val="32"/>
        </w:rPr>
        <w:t>六、采用国际标准和国外先进标准的程度</w:t>
      </w:r>
    </w:p>
    <w:p w14:paraId="05B1B653">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本文件未采用国际标准或国外先进标准，为自主制定。经检索，目前国内已有GB/T 43648—2024国家标准和LY/T 2658—2016行业标准适用于全国范围的栎树生物量与碳储量计量。黑龙江省现行森林碳汇相关标准均未针对本省栎类林碳储量估算制定专门的技术指南。</w:t>
      </w:r>
    </w:p>
    <w:p w14:paraId="43AF0C5B">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本文件基于黑龙江省行政区域内三个次级林区的实测数据，构建了栎类的生物量模型，给出了模型参数值和实测含碳系数，在栎类碳储量估算的地域针对性、参数精细化方面填补了黑龙江省空白，技术水平属省内领先。</w:t>
      </w:r>
    </w:p>
    <w:p w14:paraId="0EDBE774">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jc w:val="left"/>
        <w:textAlignment w:val="auto"/>
        <w:rPr>
          <w:rFonts w:hint="eastAsia" w:ascii="仿宋" w:hAnsi="仿宋" w:eastAsia="仿宋" w:cs="仿宋"/>
          <w:sz w:val="32"/>
          <w:szCs w:val="32"/>
        </w:rPr>
      </w:pPr>
      <w:r>
        <w:rPr>
          <w:rFonts w:hint="eastAsia" w:ascii="黑体" w:hAnsi="黑体" w:eastAsia="黑体" w:cs="黑体"/>
          <w:sz w:val="32"/>
          <w:szCs w:val="32"/>
        </w:rPr>
        <w:t>七、重大意见分歧的处理经过和依据</w:t>
      </w:r>
    </w:p>
    <w:p w14:paraId="17FC5971">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本规范征集了相关专家意见，反馈的意见与制订内容无重大分歧。</w:t>
      </w:r>
    </w:p>
    <w:p w14:paraId="3981F163">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jc w:val="left"/>
        <w:textAlignment w:val="auto"/>
        <w:rPr>
          <w:rFonts w:hint="eastAsia" w:ascii="仿宋" w:hAnsi="仿宋" w:eastAsia="仿宋" w:cs="仿宋"/>
          <w:sz w:val="32"/>
          <w:szCs w:val="32"/>
        </w:rPr>
      </w:pPr>
      <w:r>
        <w:rPr>
          <w:rFonts w:hint="eastAsia" w:ascii="黑体" w:hAnsi="黑体" w:eastAsia="黑体" w:cs="黑体"/>
          <w:sz w:val="32"/>
          <w:szCs w:val="32"/>
        </w:rPr>
        <w:t>八、贯彻标准的要求和措施建议</w:t>
      </w:r>
    </w:p>
    <w:p w14:paraId="591D3DA5">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栎类碳储量估算技术指南》颁布实施后，各级林草行政主管部门应加大标准的宣传培训力度，组织基层林业技术人员、林场管理人员及林业经营主体系统掌握技术方法，使生产者能够根据本标准开展栎类碳汇计量监测、碳汇项目开发及碳交易活动，是黑龙江省实现栎类碳汇科学计量、挖掘林业资源潜在经济价值的重要依据。</w:t>
      </w:r>
    </w:p>
    <w:p w14:paraId="3DD7C7F3">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jc w:val="left"/>
        <w:textAlignment w:val="auto"/>
        <w:rPr>
          <w:rFonts w:hint="eastAsia" w:ascii="黑体" w:hAnsi="黑体" w:eastAsia="黑体" w:cs="黑体"/>
          <w:sz w:val="32"/>
          <w:szCs w:val="32"/>
        </w:rPr>
      </w:pPr>
      <w:r>
        <w:rPr>
          <w:rFonts w:hint="eastAsia" w:ascii="黑体" w:hAnsi="黑体" w:eastAsia="黑体" w:cs="黑体"/>
          <w:sz w:val="32"/>
          <w:szCs w:val="32"/>
        </w:rPr>
        <w:t>九、废止现行有关标准的建议</w:t>
      </w:r>
    </w:p>
    <w:p w14:paraId="2D99139A">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无。</w:t>
      </w:r>
    </w:p>
    <w:p w14:paraId="74A826D0">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jc w:val="left"/>
        <w:textAlignment w:val="auto"/>
        <w:rPr>
          <w:rFonts w:hint="eastAsia" w:ascii="黑体" w:hAnsi="黑体" w:eastAsia="黑体" w:cs="黑体"/>
          <w:sz w:val="32"/>
          <w:szCs w:val="32"/>
        </w:rPr>
      </w:pPr>
      <w:r>
        <w:rPr>
          <w:rFonts w:hint="eastAsia" w:ascii="黑体" w:hAnsi="黑体" w:eastAsia="黑体" w:cs="黑体"/>
          <w:sz w:val="32"/>
          <w:szCs w:val="32"/>
        </w:rPr>
        <w:t>十、其他应予说明的重要事项</w:t>
      </w:r>
    </w:p>
    <w:p w14:paraId="094C83FB">
      <w:pPr>
        <w:pStyle w:val="26"/>
        <w:keepNext w:val="0"/>
        <w:keepLines w:val="0"/>
        <w:pageBreakBefore w:val="0"/>
        <w:widowControl/>
        <w:numPr>
          <w:ilvl w:val="0"/>
          <w:numId w:val="0"/>
        </w:numPr>
        <w:kinsoku/>
        <w:wordWrap/>
        <w:overflowPunct/>
        <w:topLinePunct w:val="0"/>
        <w:autoSpaceDE/>
        <w:autoSpaceDN/>
        <w:bidi w:val="0"/>
        <w:adjustRightInd/>
        <w:snapToGrid/>
        <w:spacing w:before="0" w:after="0" w:line="578" w:lineRule="exact"/>
        <w:ind w:leftChars="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无。</w:t>
      </w:r>
    </w:p>
    <w:bookmarkEnd w:id="0"/>
    <w:bookmarkEnd w:id="15"/>
    <w:sectPr>
      <w:footnotePr>
        <w:numRestart w:val="eachSect"/>
      </w:footnotePr>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ptos">
    <w:altName w:val="Segoe UI"/>
    <w:panose1 w:val="020B0004020202020204"/>
    <w:charset w:val="00"/>
    <w:family w:val="swiss"/>
    <w:pitch w:val="default"/>
    <w:sig w:usb0="00000000" w:usb1="00000000" w:usb2="00000000" w:usb3="00000000" w:csb0="0000019F" w:csb1="00000000"/>
  </w:font>
  <w:font w:name="Segoe UI">
    <w:panose1 w:val="020B0502040204020203"/>
    <w:charset w:val="00"/>
    <w:family w:val="auto"/>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Aptos Display">
    <w:altName w:val="Segoe UI"/>
    <w:panose1 w:val="020B0004020202020204"/>
    <w:charset w:val="00"/>
    <w:family w:val="swiss"/>
    <w:pitch w:val="default"/>
    <w:sig w:usb0="00000000" w:usb1="00000000" w:usb2="00000000" w:usb3="00000000" w:csb0="0000019F" w:csb1="00000000"/>
  </w:font>
  <w:font w:name="等线 Light">
    <w:panose1 w:val="02010600030101010101"/>
    <w:charset w:val="86"/>
    <w:family w:val="auto"/>
    <w:pitch w:val="default"/>
    <w:sig w:usb0="A00002BF" w:usb1="38CF7CFA" w:usb2="00000016" w:usb3="00000000" w:csb0="0004000F" w:csb1="00000000"/>
  </w:font>
  <w:font w:name="Consolas">
    <w:panose1 w:val="020B0609020204030204"/>
    <w:charset w:val="00"/>
    <w:family w:val="auto"/>
    <w:pitch w:val="default"/>
    <w:sig w:usb0="E00006FF" w:usb1="0000FCFF" w:usb2="00000001" w:usb3="00000000" w:csb0="6000019F" w:csb1="DFD70000"/>
  </w:font>
  <w:font w:name="方正小标宋简体">
    <w:altName w:val="方正舒体"/>
    <w:panose1 w:val="02000000000000000000"/>
    <w:charset w:val="86"/>
    <w:family w:val="auto"/>
    <w:pitch w:val="default"/>
    <w:sig w:usb0="00000000" w:usb1="00000000" w:usb2="00000000" w:usb3="00000000" w:csb0="00040000" w:csb1="00000000"/>
  </w:font>
  <w:font w:name="方正舒体">
    <w:panose1 w:val="02010601030101010101"/>
    <w:charset w:val="86"/>
    <w:family w:val="auto"/>
    <w:pitch w:val="default"/>
    <w:sig w:usb0="00000003"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0"/>
    <w:family w:val="auto"/>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6B27AA0"/>
    <w:multiLevelType w:val="singleLevel"/>
    <w:tmpl w:val="B6B27AA0"/>
    <w:lvl w:ilvl="0" w:tentative="0">
      <w:start w:val="1"/>
      <w:numFmt w:val="chineseCounting"/>
      <w:suff w:val="nothing"/>
      <w:lvlText w:val="（%1）"/>
      <w:lvlJc w:val="left"/>
      <w:rPr>
        <w:rFonts w:hint="eastAsia"/>
      </w:rPr>
    </w:lvl>
  </w:abstractNum>
  <w:abstractNum w:abstractNumId="1">
    <w:nsid w:val="E1F9EDD2"/>
    <w:multiLevelType w:val="singleLevel"/>
    <w:tmpl w:val="E1F9EDD2"/>
    <w:lvl w:ilvl="0" w:tentative="0">
      <w:start w:val="1"/>
      <w:numFmt w:val="chineseCounting"/>
      <w:suff w:val="nothing"/>
      <w:lvlText w:val="%1、"/>
      <w:lvlJc w:val="left"/>
      <w:rPr>
        <w:rFonts w:hint="eastAsia"/>
      </w:rPr>
    </w:lvl>
  </w:abstractNum>
  <w:abstractNum w:abstractNumId="2">
    <w:nsid w:val="F0F658F4"/>
    <w:multiLevelType w:val="singleLevel"/>
    <w:tmpl w:val="F0F658F4"/>
    <w:lvl w:ilvl="0" w:tentative="0">
      <w:start w:val="1"/>
      <w:numFmt w:val="decimal"/>
      <w:suff w:val="space"/>
      <w:lvlText w:val="%1."/>
      <w:lvlJc w:val="left"/>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NotTrackMoves/>
  <w:documentProtection w:enforcement="0"/>
  <w:defaultTabStop w:val="720"/>
  <w:drawingGridHorizontalSpacing w:val="360"/>
  <w:drawingGridVerticalSpacing w:val="360"/>
  <w:displayHorizontalDrawingGridEvery w:val="1"/>
  <w:displayVerticalDrawingGridEvery w:val="1"/>
  <w:noPunctuationKerning w:val="1"/>
  <w:characterSpacingControl w:val="doNotCompress"/>
  <w:footnotePr>
    <w:numRestart w:val="eachSect"/>
    <w:footnote w:id="0"/>
    <w:footnote w:id="1"/>
  </w:footnotePr>
  <w:compat>
    <w:doNotExpandShiftReturn/>
    <w:doNotWrapTextWithPunct/>
    <w:doNotUseEastAsianBreakRules/>
    <w:useFELayout/>
    <w:splitPgBreakAndParaMark/>
    <w:compatSetting w:name="compatibilityMode" w:uri="http://schemas.microsoft.com/office/word" w:val="12"/>
  </w:compat>
  <w:rsids>
    <w:rsidRoot w:val="00000000"/>
    <w:rsid w:val="045D1075"/>
    <w:rsid w:val="04D04F5A"/>
    <w:rsid w:val="050D123C"/>
    <w:rsid w:val="055E380B"/>
    <w:rsid w:val="07862691"/>
    <w:rsid w:val="0AF344E1"/>
    <w:rsid w:val="160D03C6"/>
    <w:rsid w:val="1F1311DA"/>
    <w:rsid w:val="206C2D8D"/>
    <w:rsid w:val="22097CEF"/>
    <w:rsid w:val="22401F54"/>
    <w:rsid w:val="227A3683"/>
    <w:rsid w:val="24E4395F"/>
    <w:rsid w:val="285B7BA3"/>
    <w:rsid w:val="285F46ED"/>
    <w:rsid w:val="28E52D63"/>
    <w:rsid w:val="2CA90205"/>
    <w:rsid w:val="301D7787"/>
    <w:rsid w:val="366672B0"/>
    <w:rsid w:val="3BB90DD3"/>
    <w:rsid w:val="3CDC4526"/>
    <w:rsid w:val="3DAF44A7"/>
    <w:rsid w:val="45C5024D"/>
    <w:rsid w:val="45CF6D37"/>
    <w:rsid w:val="470B6133"/>
    <w:rsid w:val="48171365"/>
    <w:rsid w:val="4C107324"/>
    <w:rsid w:val="536410A5"/>
    <w:rsid w:val="567F7FA4"/>
    <w:rsid w:val="5A76346C"/>
    <w:rsid w:val="5ACE75A8"/>
    <w:rsid w:val="5E2363CC"/>
    <w:rsid w:val="5EF83C69"/>
    <w:rsid w:val="60161979"/>
    <w:rsid w:val="61047A23"/>
    <w:rsid w:val="65312DB1"/>
    <w:rsid w:val="68AB231B"/>
    <w:rsid w:val="690776AC"/>
    <w:rsid w:val="69B144C0"/>
    <w:rsid w:val="69FD29F4"/>
    <w:rsid w:val="6A647785"/>
    <w:rsid w:val="6F711875"/>
    <w:rsid w:val="71922E29"/>
    <w:rsid w:val="73162504"/>
    <w:rsid w:val="785B57CD"/>
    <w:rsid w:val="7CA57EB5"/>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iPriority="9"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11"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qFormat="1" w:uiPriority="9" w:semiHidden="0" w:name="Block Text"/>
    <w:lsdException w:qFormat="1" w:unhideWhenUsed="0" w:uiPriority="0" w:semiHidden="0" w:name="Hyperlink"/>
    <w:lsdException w:unhideWhenUsed="0" w:uiPriority="0" w:semiHidden="0" w:name="FollowedHyperlink"/>
    <w:lsdException w:unhideWhenUsed="0" w:uiPriority="0" w:semiHidden="0" w:name="Strong"/>
    <w:lsdException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pPr>
    <w:rPr>
      <w:rFonts w:asciiTheme="minorHAnsi" w:hAnsiTheme="minorHAnsi" w:eastAsiaTheme="minorEastAsia" w:cstheme="minorBidi"/>
      <w:sz w:val="24"/>
      <w:szCs w:val="24"/>
      <w:lang w:val="en-US" w:eastAsia="zh-CN" w:bidi="ar-SA"/>
    </w:rPr>
  </w:style>
  <w:style w:type="paragraph" w:styleId="2">
    <w:name w:val="heading 1"/>
    <w:basedOn w:val="1"/>
    <w:next w:val="3"/>
    <w:link w:val="34"/>
    <w:qFormat/>
    <w:uiPriority w:val="9"/>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4">
    <w:name w:val="heading 2"/>
    <w:basedOn w:val="1"/>
    <w:next w:val="3"/>
    <w:link w:val="35"/>
    <w:semiHidden/>
    <w:unhideWhenUsed/>
    <w:qFormat/>
    <w:uiPriority w:val="9"/>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5">
    <w:name w:val="heading 3"/>
    <w:basedOn w:val="1"/>
    <w:next w:val="3"/>
    <w:link w:val="36"/>
    <w:semiHidden/>
    <w:unhideWhenUsed/>
    <w:qFormat/>
    <w:uiPriority w:val="9"/>
    <w:pPr>
      <w:keepNext/>
      <w:keepLines/>
      <w:spacing w:before="160" w:after="80"/>
      <w:outlineLvl w:val="2"/>
    </w:pPr>
    <w:rPr>
      <w:rFonts w:eastAsiaTheme="majorEastAsia" w:cstheme="majorBidi"/>
      <w:color w:val="0F4761" w:themeColor="accent1" w:themeShade="BF"/>
      <w:sz w:val="28"/>
      <w:szCs w:val="28"/>
    </w:rPr>
  </w:style>
  <w:style w:type="paragraph" w:styleId="6">
    <w:name w:val="heading 4"/>
    <w:basedOn w:val="1"/>
    <w:next w:val="3"/>
    <w:link w:val="37"/>
    <w:semiHidden/>
    <w:unhideWhenUsed/>
    <w:qFormat/>
    <w:uiPriority w:val="9"/>
    <w:pPr>
      <w:keepNext/>
      <w:keepLines/>
      <w:spacing w:before="80" w:after="40"/>
      <w:outlineLvl w:val="3"/>
    </w:pPr>
    <w:rPr>
      <w:rFonts w:eastAsiaTheme="majorEastAsia" w:cstheme="majorBidi"/>
      <w:i/>
      <w:iCs/>
      <w:color w:val="0F4761" w:themeColor="accent1" w:themeShade="BF"/>
    </w:rPr>
  </w:style>
  <w:style w:type="paragraph" w:styleId="7">
    <w:name w:val="heading 5"/>
    <w:basedOn w:val="1"/>
    <w:next w:val="3"/>
    <w:link w:val="38"/>
    <w:semiHidden/>
    <w:unhideWhenUsed/>
    <w:qFormat/>
    <w:uiPriority w:val="9"/>
    <w:pPr>
      <w:keepNext/>
      <w:keepLines/>
      <w:spacing w:before="80" w:after="40"/>
      <w:outlineLvl w:val="4"/>
    </w:pPr>
    <w:rPr>
      <w:rFonts w:eastAsiaTheme="majorEastAsia" w:cstheme="majorBidi"/>
      <w:color w:val="0F4761" w:themeColor="accent1" w:themeShade="BF"/>
    </w:rPr>
  </w:style>
  <w:style w:type="paragraph" w:styleId="8">
    <w:name w:val="heading 6"/>
    <w:basedOn w:val="1"/>
    <w:next w:val="3"/>
    <w:link w:val="39"/>
    <w:semiHidden/>
    <w:unhideWhenUsed/>
    <w:qFormat/>
    <w:uiPriority w:val="9"/>
    <w:pPr>
      <w:keepNext/>
      <w:keepLines/>
      <w:spacing w:before="40" w:after="0"/>
      <w:outlineLvl w:val="5"/>
    </w:pPr>
    <w:rPr>
      <w:rFonts w:eastAsiaTheme="majorEastAsia" w:cstheme="majorBidi"/>
      <w:i/>
      <w:iCs/>
      <w:color w:val="585858" w:themeColor="text1" w:themeTint="A6"/>
    </w:rPr>
  </w:style>
  <w:style w:type="paragraph" w:styleId="9">
    <w:name w:val="heading 7"/>
    <w:basedOn w:val="1"/>
    <w:next w:val="3"/>
    <w:link w:val="40"/>
    <w:semiHidden/>
    <w:unhideWhenUsed/>
    <w:qFormat/>
    <w:uiPriority w:val="9"/>
    <w:pPr>
      <w:keepNext/>
      <w:keepLines/>
      <w:spacing w:before="40" w:after="0"/>
      <w:outlineLvl w:val="6"/>
    </w:pPr>
    <w:rPr>
      <w:rFonts w:eastAsiaTheme="majorEastAsia" w:cstheme="majorBidi"/>
      <w:color w:val="585858" w:themeColor="text1" w:themeTint="A6"/>
    </w:rPr>
  </w:style>
  <w:style w:type="paragraph" w:styleId="10">
    <w:name w:val="heading 8"/>
    <w:basedOn w:val="1"/>
    <w:next w:val="3"/>
    <w:link w:val="41"/>
    <w:semiHidden/>
    <w:unhideWhenUsed/>
    <w:qFormat/>
    <w:uiPriority w:val="9"/>
    <w:pPr>
      <w:keepNext/>
      <w:keepLines/>
      <w:spacing w:after="0"/>
      <w:outlineLvl w:val="7"/>
    </w:pPr>
    <w:rPr>
      <w:rFonts w:eastAsiaTheme="majorEastAsia" w:cstheme="majorBidi"/>
      <w:i/>
      <w:iCs/>
      <w:color w:val="262626" w:themeColor="text1" w:themeTint="D8"/>
    </w:rPr>
  </w:style>
  <w:style w:type="paragraph" w:styleId="11">
    <w:name w:val="heading 9"/>
    <w:basedOn w:val="1"/>
    <w:next w:val="3"/>
    <w:link w:val="42"/>
    <w:semiHidden/>
    <w:unhideWhenUsed/>
    <w:qFormat/>
    <w:uiPriority w:val="9"/>
    <w:pPr>
      <w:keepNext/>
      <w:keepLines/>
      <w:spacing w:after="0"/>
      <w:outlineLvl w:val="8"/>
    </w:pPr>
    <w:rPr>
      <w:rFonts w:eastAsiaTheme="majorEastAsia" w:cstheme="majorBidi"/>
      <w:color w:val="262626" w:themeColor="text1" w:themeTint="D8"/>
    </w:rPr>
  </w:style>
  <w:style w:type="character" w:default="1" w:styleId="20">
    <w:name w:val="Default Paragraph Font"/>
    <w:semiHidden/>
    <w:unhideWhenUsed/>
    <w:qFormat/>
    <w:uiPriority w:val="0"/>
  </w:style>
  <w:style w:type="table" w:default="1" w:styleId="19">
    <w:name w:val="Normal Table"/>
    <w:qFormat/>
    <w:uiPriority w:val="0"/>
    <w:tblPr>
      <w:tblCellMar>
        <w:top w:w="0" w:type="dxa"/>
        <w:left w:w="108" w:type="dxa"/>
        <w:bottom w:w="0" w:type="dxa"/>
        <w:right w:w="108" w:type="dxa"/>
      </w:tblCellMar>
    </w:tblPr>
  </w:style>
  <w:style w:type="paragraph" w:styleId="3">
    <w:name w:val="Body Text"/>
    <w:basedOn w:val="1"/>
    <w:link w:val="24"/>
    <w:qFormat/>
    <w:uiPriority w:val="0"/>
    <w:pPr>
      <w:spacing w:before="180" w:after="180"/>
    </w:pPr>
  </w:style>
  <w:style w:type="paragraph" w:styleId="12">
    <w:name w:val="caption"/>
    <w:basedOn w:val="1"/>
    <w:qFormat/>
    <w:uiPriority w:val="0"/>
    <w:pPr>
      <w:spacing w:before="0" w:after="120"/>
    </w:pPr>
    <w:rPr>
      <w:i/>
    </w:rPr>
  </w:style>
  <w:style w:type="paragraph" w:styleId="13">
    <w:name w:val="Block Text"/>
    <w:basedOn w:val="3"/>
    <w:next w:val="3"/>
    <w:unhideWhenUsed/>
    <w:qFormat/>
    <w:uiPriority w:val="9"/>
    <w:pPr>
      <w:spacing w:before="100" w:after="100"/>
      <w:ind w:left="480" w:right="480" w:firstLine="0"/>
    </w:pPr>
  </w:style>
  <w:style w:type="paragraph" w:styleId="14">
    <w:name w:val="Date"/>
    <w:basedOn w:val="15"/>
    <w:next w:val="3"/>
    <w:qFormat/>
    <w:uiPriority w:val="0"/>
    <w:pPr>
      <w:keepNext/>
      <w:keepLines/>
    </w:pPr>
    <w:rPr>
      <w:sz w:val="24"/>
      <w:szCs w:val="24"/>
    </w:rPr>
  </w:style>
  <w:style w:type="paragraph" w:styleId="15">
    <w:name w:val="Title"/>
    <w:basedOn w:val="1"/>
    <w:next w:val="3"/>
    <w:link w:val="28"/>
    <w:qFormat/>
    <w:uiPriority w:val="10"/>
    <w:pPr>
      <w:spacing w:after="80" w:line="240" w:lineRule="auto"/>
      <w:contextualSpacing/>
      <w:jc w:val="center"/>
    </w:pPr>
    <w:rPr>
      <w:rFonts w:asciiTheme="majorHAnsi" w:hAnsiTheme="majorHAnsi" w:eastAsiaTheme="majorEastAsia" w:cstheme="majorBidi"/>
      <w:sz w:val="56"/>
      <w:szCs w:val="56"/>
    </w:rPr>
  </w:style>
  <w:style w:type="paragraph" w:styleId="16">
    <w:name w:val="Subtitle"/>
    <w:basedOn w:val="15"/>
    <w:next w:val="3"/>
    <w:link w:val="29"/>
    <w:qFormat/>
    <w:uiPriority w:val="11"/>
    <w:rPr>
      <w:rFonts w:eastAsiaTheme="majorEastAsia" w:cstheme="majorBidi"/>
      <w:spacing w:val="15"/>
      <w:sz w:val="28"/>
      <w:szCs w:val="28"/>
    </w:rPr>
  </w:style>
  <w:style w:type="paragraph" w:styleId="17">
    <w:name w:val="footnote text"/>
    <w:basedOn w:val="1"/>
    <w:unhideWhenUsed/>
    <w:qFormat/>
    <w:uiPriority w:val="9"/>
  </w:style>
  <w:style w:type="paragraph" w:styleId="18">
    <w:name w:val="Normal (Web)"/>
    <w:basedOn w:val="1"/>
    <w:uiPriority w:val="0"/>
    <w:rPr>
      <w:sz w:val="24"/>
    </w:rPr>
  </w:style>
  <w:style w:type="character" w:styleId="21">
    <w:name w:val="Strong"/>
    <w:basedOn w:val="20"/>
    <w:uiPriority w:val="0"/>
    <w:rPr>
      <w:b/>
    </w:rPr>
  </w:style>
  <w:style w:type="character" w:styleId="22">
    <w:name w:val="Emphasis"/>
    <w:basedOn w:val="20"/>
    <w:uiPriority w:val="0"/>
    <w:rPr>
      <w:i/>
    </w:rPr>
  </w:style>
  <w:style w:type="character" w:styleId="23">
    <w:name w:val="Hyperlink"/>
    <w:basedOn w:val="24"/>
    <w:qFormat/>
    <w:uiPriority w:val="0"/>
    <w:rPr>
      <w:color w:val="156082" w:themeColor="accent1"/>
    </w:rPr>
  </w:style>
  <w:style w:type="character" w:customStyle="1" w:styleId="24">
    <w:name w:val="Body Text Char"/>
    <w:basedOn w:val="20"/>
    <w:link w:val="3"/>
    <w:qFormat/>
    <w:uiPriority w:val="0"/>
  </w:style>
  <w:style w:type="character" w:styleId="25">
    <w:name w:val="footnote reference"/>
    <w:basedOn w:val="24"/>
    <w:qFormat/>
    <w:uiPriority w:val="0"/>
    <w:rPr>
      <w:vertAlign w:val="superscript"/>
    </w:rPr>
  </w:style>
  <w:style w:type="paragraph" w:customStyle="1" w:styleId="26">
    <w:name w:val="First Paragraph"/>
    <w:basedOn w:val="3"/>
    <w:next w:val="3"/>
    <w:qFormat/>
    <w:uiPriority w:val="0"/>
  </w:style>
  <w:style w:type="paragraph" w:customStyle="1" w:styleId="27">
    <w:name w:val="Compact"/>
    <w:basedOn w:val="3"/>
    <w:qFormat/>
    <w:uiPriority w:val="0"/>
    <w:pPr>
      <w:spacing w:before="36" w:after="36"/>
    </w:pPr>
  </w:style>
  <w:style w:type="character" w:customStyle="1" w:styleId="28">
    <w:name w:val="Title Char"/>
    <w:basedOn w:val="20"/>
    <w:link w:val="15"/>
    <w:qFormat/>
    <w:uiPriority w:val="10"/>
    <w:rPr>
      <w:rFonts w:asciiTheme="majorHAnsi" w:hAnsiTheme="majorHAnsi" w:eastAsiaTheme="majorEastAsia" w:cstheme="majorBidi"/>
      <w:sz w:val="56"/>
      <w:szCs w:val="56"/>
    </w:rPr>
  </w:style>
  <w:style w:type="character" w:customStyle="1" w:styleId="29">
    <w:name w:val="Subtitle Char"/>
    <w:basedOn w:val="20"/>
    <w:link w:val="16"/>
    <w:qFormat/>
    <w:uiPriority w:val="11"/>
    <w:rPr>
      <w:rFonts w:eastAsiaTheme="majorEastAsia" w:cstheme="majorBidi"/>
      <w:color w:val="585858" w:themeColor="text1" w:themeTint="A6"/>
      <w:spacing w:val="15"/>
      <w:sz w:val="28"/>
      <w:szCs w:val="28"/>
    </w:rPr>
  </w:style>
  <w:style w:type="paragraph" w:customStyle="1" w:styleId="30">
    <w:name w:val="Author"/>
    <w:basedOn w:val="15"/>
    <w:next w:val="3"/>
    <w:qFormat/>
    <w:uiPriority w:val="0"/>
    <w:pPr>
      <w:keepNext/>
      <w:keepLines/>
    </w:pPr>
    <w:rPr>
      <w:sz w:val="24"/>
      <w:szCs w:val="24"/>
    </w:rPr>
  </w:style>
  <w:style w:type="paragraph" w:customStyle="1" w:styleId="31">
    <w:name w:val="Abstract Title"/>
    <w:basedOn w:val="1"/>
    <w:next w:val="32"/>
    <w:qFormat/>
    <w:uiPriority w:val="0"/>
    <w:pPr>
      <w:keepNext/>
      <w:keepLines/>
      <w:spacing w:before="300" w:after="0"/>
      <w:jc w:val="center"/>
    </w:pPr>
    <w:rPr>
      <w:b/>
      <w:sz w:val="20"/>
      <w:szCs w:val="20"/>
    </w:rPr>
  </w:style>
  <w:style w:type="paragraph" w:customStyle="1" w:styleId="32">
    <w:name w:val="Abstract"/>
    <w:basedOn w:val="1"/>
    <w:next w:val="3"/>
    <w:qFormat/>
    <w:uiPriority w:val="0"/>
    <w:pPr>
      <w:keepNext/>
      <w:keepLines/>
      <w:spacing w:before="100" w:after="300"/>
    </w:pPr>
    <w:rPr>
      <w:sz w:val="20"/>
      <w:szCs w:val="20"/>
    </w:rPr>
  </w:style>
  <w:style w:type="paragraph" w:customStyle="1" w:styleId="33">
    <w:name w:val="Bibliography"/>
    <w:basedOn w:val="1"/>
    <w:qFormat/>
    <w:uiPriority w:val="0"/>
  </w:style>
  <w:style w:type="character" w:customStyle="1" w:styleId="34">
    <w:name w:val="Heading 1 Char"/>
    <w:basedOn w:val="20"/>
    <w:link w:val="2"/>
    <w:qFormat/>
    <w:uiPriority w:val="9"/>
    <w:rPr>
      <w:rFonts w:asciiTheme="majorHAnsi" w:hAnsiTheme="majorHAnsi" w:eastAsiaTheme="majorEastAsia" w:cstheme="majorBidi"/>
      <w:color w:val="0F4761" w:themeColor="accent1" w:themeShade="BF"/>
      <w:sz w:val="40"/>
      <w:szCs w:val="40"/>
    </w:rPr>
  </w:style>
  <w:style w:type="character" w:customStyle="1" w:styleId="35">
    <w:name w:val="Heading 2 Char"/>
    <w:basedOn w:val="20"/>
    <w:link w:val="4"/>
    <w:semiHidden/>
    <w:qFormat/>
    <w:uiPriority w:val="9"/>
    <w:rPr>
      <w:rFonts w:asciiTheme="majorHAnsi" w:hAnsiTheme="majorHAnsi" w:eastAsiaTheme="majorEastAsia" w:cstheme="majorBidi"/>
      <w:color w:val="0F4761" w:themeColor="accent1" w:themeShade="BF"/>
      <w:sz w:val="32"/>
      <w:szCs w:val="32"/>
    </w:rPr>
  </w:style>
  <w:style w:type="character" w:customStyle="1" w:styleId="36">
    <w:name w:val="Heading 3 Char"/>
    <w:basedOn w:val="20"/>
    <w:link w:val="5"/>
    <w:semiHidden/>
    <w:qFormat/>
    <w:uiPriority w:val="9"/>
    <w:rPr>
      <w:rFonts w:eastAsiaTheme="majorEastAsia" w:cstheme="majorBidi"/>
      <w:color w:val="0F4761" w:themeColor="accent1" w:themeShade="BF"/>
      <w:sz w:val="28"/>
      <w:szCs w:val="28"/>
    </w:rPr>
  </w:style>
  <w:style w:type="character" w:customStyle="1" w:styleId="37">
    <w:name w:val="Heading 4 Char"/>
    <w:basedOn w:val="20"/>
    <w:link w:val="6"/>
    <w:semiHidden/>
    <w:qFormat/>
    <w:uiPriority w:val="9"/>
    <w:rPr>
      <w:rFonts w:eastAsiaTheme="majorEastAsia" w:cstheme="majorBidi"/>
      <w:i/>
      <w:iCs/>
      <w:color w:val="0F4761" w:themeColor="accent1" w:themeShade="BF"/>
    </w:rPr>
  </w:style>
  <w:style w:type="character" w:customStyle="1" w:styleId="38">
    <w:name w:val="Heading 5 Char"/>
    <w:basedOn w:val="20"/>
    <w:link w:val="7"/>
    <w:semiHidden/>
    <w:qFormat/>
    <w:uiPriority w:val="9"/>
    <w:rPr>
      <w:rFonts w:eastAsiaTheme="majorEastAsia" w:cstheme="majorBidi"/>
      <w:color w:val="0F4761" w:themeColor="accent1" w:themeShade="BF"/>
    </w:rPr>
  </w:style>
  <w:style w:type="character" w:customStyle="1" w:styleId="39">
    <w:name w:val="Heading 6 Char"/>
    <w:basedOn w:val="20"/>
    <w:link w:val="8"/>
    <w:semiHidden/>
    <w:qFormat/>
    <w:uiPriority w:val="9"/>
    <w:rPr>
      <w:rFonts w:eastAsiaTheme="majorEastAsia" w:cstheme="majorBidi"/>
      <w:i/>
      <w:iCs/>
      <w:color w:val="585858" w:themeColor="text1" w:themeTint="A6"/>
    </w:rPr>
  </w:style>
  <w:style w:type="character" w:customStyle="1" w:styleId="40">
    <w:name w:val="Heading 7 Char"/>
    <w:basedOn w:val="20"/>
    <w:link w:val="9"/>
    <w:semiHidden/>
    <w:qFormat/>
    <w:uiPriority w:val="9"/>
    <w:rPr>
      <w:rFonts w:eastAsiaTheme="majorEastAsia" w:cstheme="majorBidi"/>
      <w:color w:val="585858" w:themeColor="text1" w:themeTint="A6"/>
    </w:rPr>
  </w:style>
  <w:style w:type="character" w:customStyle="1" w:styleId="41">
    <w:name w:val="Heading 8 Char"/>
    <w:basedOn w:val="20"/>
    <w:link w:val="10"/>
    <w:semiHidden/>
    <w:qFormat/>
    <w:uiPriority w:val="9"/>
    <w:rPr>
      <w:rFonts w:eastAsiaTheme="majorEastAsia" w:cstheme="majorBidi"/>
      <w:i/>
      <w:iCs/>
      <w:color w:val="262626" w:themeColor="text1" w:themeTint="D8"/>
    </w:rPr>
  </w:style>
  <w:style w:type="character" w:customStyle="1" w:styleId="42">
    <w:name w:val="Heading 9 Char"/>
    <w:basedOn w:val="20"/>
    <w:link w:val="11"/>
    <w:semiHidden/>
    <w:qFormat/>
    <w:uiPriority w:val="9"/>
    <w:rPr>
      <w:rFonts w:eastAsiaTheme="majorEastAsia" w:cstheme="majorBidi"/>
      <w:color w:val="262626" w:themeColor="text1" w:themeTint="D8"/>
    </w:rPr>
  </w:style>
  <w:style w:type="paragraph" w:customStyle="1" w:styleId="43">
    <w:name w:val="Footnote Block Text"/>
    <w:basedOn w:val="17"/>
    <w:next w:val="17"/>
    <w:unhideWhenUsed/>
    <w:qFormat/>
    <w:uiPriority w:val="9"/>
    <w:pPr>
      <w:spacing w:before="100" w:after="100"/>
      <w:ind w:left="480" w:right="480" w:firstLine="0"/>
    </w:pPr>
  </w:style>
  <w:style w:type="table" w:customStyle="1" w:styleId="44">
    <w:name w:val="Table"/>
    <w:semiHidden/>
    <w:unhideWhenUsed/>
    <w:qFormat/>
    <w:uiPriority w:val="0"/>
    <w:tblPr>
      <w:tblCellMar>
        <w:top w:w="0" w:type="dxa"/>
        <w:left w:w="108" w:type="dxa"/>
        <w:bottom w:w="0" w:type="dxa"/>
        <w:right w:w="108" w:type="dxa"/>
      </w:tblCellMar>
    </w:tblPr>
    <w:tblStylePr w:type="firstRow">
      <w:tcPr>
        <w:tcBorders>
          <w:bottom w:val="single" w:color="auto" w:sz="0" w:space="0"/>
        </w:tcBorders>
        <w:vAlign w:val="bottom"/>
      </w:tcPr>
    </w:tblStylePr>
  </w:style>
  <w:style w:type="paragraph" w:customStyle="1" w:styleId="45">
    <w:name w:val="Definition Term"/>
    <w:basedOn w:val="1"/>
    <w:next w:val="46"/>
    <w:qFormat/>
    <w:uiPriority w:val="0"/>
    <w:pPr>
      <w:keepNext/>
      <w:keepLines/>
      <w:spacing w:after="0"/>
    </w:pPr>
    <w:rPr>
      <w:b/>
    </w:rPr>
  </w:style>
  <w:style w:type="paragraph" w:customStyle="1" w:styleId="46">
    <w:name w:val="Definition"/>
    <w:basedOn w:val="1"/>
    <w:qFormat/>
    <w:uiPriority w:val="0"/>
  </w:style>
  <w:style w:type="paragraph" w:customStyle="1" w:styleId="47">
    <w:name w:val="Table Caption"/>
    <w:basedOn w:val="12"/>
    <w:qFormat/>
    <w:uiPriority w:val="0"/>
    <w:pPr>
      <w:keepNext/>
    </w:pPr>
  </w:style>
  <w:style w:type="paragraph" w:customStyle="1" w:styleId="48">
    <w:name w:val="Image Caption"/>
    <w:basedOn w:val="12"/>
    <w:qFormat/>
    <w:uiPriority w:val="0"/>
  </w:style>
  <w:style w:type="paragraph" w:customStyle="1" w:styleId="49">
    <w:name w:val="Figure"/>
    <w:basedOn w:val="1"/>
    <w:qFormat/>
    <w:uiPriority w:val="0"/>
  </w:style>
  <w:style w:type="paragraph" w:customStyle="1" w:styleId="50">
    <w:name w:val="Captioned Figure"/>
    <w:basedOn w:val="49"/>
    <w:qFormat/>
    <w:uiPriority w:val="0"/>
    <w:pPr>
      <w:keepNext/>
    </w:pPr>
  </w:style>
  <w:style w:type="character" w:customStyle="1" w:styleId="51">
    <w:name w:val="Verbatim Char"/>
    <w:basedOn w:val="24"/>
    <w:link w:val="52"/>
    <w:qFormat/>
    <w:uiPriority w:val="0"/>
    <w:rPr>
      <w:rFonts w:ascii="Consolas" w:hAnsi="Consolas"/>
      <w:sz w:val="22"/>
    </w:rPr>
  </w:style>
  <w:style w:type="paragraph" w:customStyle="1" w:styleId="52">
    <w:name w:val="Source Code"/>
    <w:basedOn w:val="1"/>
    <w:link w:val="51"/>
    <w:qFormat/>
    <w:uiPriority w:val="0"/>
    <w:pPr>
      <w:wordWrap w:val="0"/>
    </w:pPr>
  </w:style>
  <w:style w:type="character" w:customStyle="1" w:styleId="53">
    <w:name w:val="Section Number"/>
    <w:basedOn w:val="24"/>
    <w:qFormat/>
    <w:uiPriority w:val="0"/>
  </w:style>
  <w:style w:type="paragraph" w:customStyle="1" w:styleId="54">
    <w:name w:val="TOC Heading"/>
    <w:basedOn w:val="2"/>
    <w:next w:val="3"/>
    <w:unhideWhenUsed/>
    <w:qFormat/>
    <w:uiPriority w:val="39"/>
    <w:pPr>
      <w:spacing w:before="240" w:line="259" w:lineRule="auto"/>
      <w:outlineLvl w:val="9"/>
    </w:pPr>
    <w:rPr>
      <w:rFonts w:asciiTheme="majorHAnsi" w:hAnsiTheme="majorHAnsi" w:eastAsiaTheme="majorEastAsia" w:cstheme="majorBidi"/>
      <w:color w:val="0F4761" w:themeColor="accent1" w:themeShade="BF"/>
    </w:rPr>
  </w:style>
  <w:style w:type="character" w:customStyle="1" w:styleId="55">
    <w:name w:val="KeywordTok"/>
    <w:basedOn w:val="51"/>
    <w:qFormat/>
    <w:uiPriority w:val="0"/>
    <w:rPr>
      <w:b/>
      <w:color w:val="007020"/>
    </w:rPr>
  </w:style>
  <w:style w:type="character" w:customStyle="1" w:styleId="56">
    <w:name w:val="DataTypeTok"/>
    <w:basedOn w:val="51"/>
    <w:qFormat/>
    <w:uiPriority w:val="0"/>
    <w:rPr>
      <w:color w:val="902000"/>
    </w:rPr>
  </w:style>
  <w:style w:type="character" w:customStyle="1" w:styleId="57">
    <w:name w:val="DecValTok"/>
    <w:basedOn w:val="51"/>
    <w:qFormat/>
    <w:uiPriority w:val="0"/>
    <w:rPr>
      <w:color w:val="40A070"/>
    </w:rPr>
  </w:style>
  <w:style w:type="character" w:customStyle="1" w:styleId="58">
    <w:name w:val="BaseNTok"/>
    <w:basedOn w:val="51"/>
    <w:qFormat/>
    <w:uiPriority w:val="0"/>
    <w:rPr>
      <w:color w:val="40A070"/>
    </w:rPr>
  </w:style>
  <w:style w:type="character" w:customStyle="1" w:styleId="59">
    <w:name w:val="FloatTok"/>
    <w:basedOn w:val="51"/>
    <w:qFormat/>
    <w:uiPriority w:val="0"/>
    <w:rPr>
      <w:color w:val="40A070"/>
    </w:rPr>
  </w:style>
  <w:style w:type="character" w:customStyle="1" w:styleId="60">
    <w:name w:val="ConstantTok"/>
    <w:basedOn w:val="51"/>
    <w:qFormat/>
    <w:uiPriority w:val="0"/>
    <w:rPr>
      <w:color w:val="880000"/>
    </w:rPr>
  </w:style>
  <w:style w:type="character" w:customStyle="1" w:styleId="61">
    <w:name w:val="CharTok"/>
    <w:basedOn w:val="51"/>
    <w:qFormat/>
    <w:uiPriority w:val="0"/>
    <w:rPr>
      <w:color w:val="4070A0"/>
    </w:rPr>
  </w:style>
  <w:style w:type="character" w:customStyle="1" w:styleId="62">
    <w:name w:val="SpecialCharTok"/>
    <w:basedOn w:val="51"/>
    <w:qFormat/>
    <w:uiPriority w:val="0"/>
    <w:rPr>
      <w:color w:val="4070A0"/>
    </w:rPr>
  </w:style>
  <w:style w:type="character" w:customStyle="1" w:styleId="63">
    <w:name w:val="StringTok"/>
    <w:basedOn w:val="51"/>
    <w:qFormat/>
    <w:uiPriority w:val="0"/>
    <w:rPr>
      <w:color w:val="4070A0"/>
    </w:rPr>
  </w:style>
  <w:style w:type="character" w:customStyle="1" w:styleId="64">
    <w:name w:val="VerbatimStringTok"/>
    <w:basedOn w:val="51"/>
    <w:qFormat/>
    <w:uiPriority w:val="0"/>
    <w:rPr>
      <w:color w:val="4070A0"/>
    </w:rPr>
  </w:style>
  <w:style w:type="character" w:customStyle="1" w:styleId="65">
    <w:name w:val="SpecialStringTok"/>
    <w:basedOn w:val="51"/>
    <w:qFormat/>
    <w:uiPriority w:val="0"/>
    <w:rPr>
      <w:color w:val="BB6688"/>
    </w:rPr>
  </w:style>
  <w:style w:type="character" w:customStyle="1" w:styleId="66">
    <w:name w:val="ImportTok"/>
    <w:basedOn w:val="51"/>
    <w:qFormat/>
    <w:uiPriority w:val="0"/>
    <w:rPr>
      <w:b/>
      <w:color w:val="008000"/>
    </w:rPr>
  </w:style>
  <w:style w:type="character" w:customStyle="1" w:styleId="67">
    <w:name w:val="CommentTok"/>
    <w:basedOn w:val="51"/>
    <w:qFormat/>
    <w:uiPriority w:val="0"/>
    <w:rPr>
      <w:i/>
      <w:color w:val="60A0B0"/>
    </w:rPr>
  </w:style>
  <w:style w:type="character" w:customStyle="1" w:styleId="68">
    <w:name w:val="DocumentationTok"/>
    <w:basedOn w:val="51"/>
    <w:qFormat/>
    <w:uiPriority w:val="0"/>
    <w:rPr>
      <w:i/>
      <w:color w:val="BA2121"/>
    </w:rPr>
  </w:style>
  <w:style w:type="character" w:customStyle="1" w:styleId="69">
    <w:name w:val="AnnotationTok"/>
    <w:basedOn w:val="51"/>
    <w:qFormat/>
    <w:uiPriority w:val="0"/>
    <w:rPr>
      <w:b/>
      <w:i/>
      <w:color w:val="60A0B0"/>
    </w:rPr>
  </w:style>
  <w:style w:type="character" w:customStyle="1" w:styleId="70">
    <w:name w:val="CommentVarTok"/>
    <w:basedOn w:val="51"/>
    <w:qFormat/>
    <w:uiPriority w:val="0"/>
    <w:rPr>
      <w:b/>
      <w:i/>
      <w:color w:val="60A0B0"/>
    </w:rPr>
  </w:style>
  <w:style w:type="character" w:customStyle="1" w:styleId="71">
    <w:name w:val="OtherTok"/>
    <w:basedOn w:val="51"/>
    <w:qFormat/>
    <w:uiPriority w:val="0"/>
    <w:rPr>
      <w:color w:val="007020"/>
    </w:rPr>
  </w:style>
  <w:style w:type="character" w:customStyle="1" w:styleId="72">
    <w:name w:val="FunctionTok"/>
    <w:basedOn w:val="51"/>
    <w:qFormat/>
    <w:uiPriority w:val="0"/>
    <w:rPr>
      <w:color w:val="06287E"/>
    </w:rPr>
  </w:style>
  <w:style w:type="character" w:customStyle="1" w:styleId="73">
    <w:name w:val="VariableTok"/>
    <w:basedOn w:val="51"/>
    <w:qFormat/>
    <w:uiPriority w:val="0"/>
    <w:rPr>
      <w:color w:val="19177C"/>
    </w:rPr>
  </w:style>
  <w:style w:type="character" w:customStyle="1" w:styleId="74">
    <w:name w:val="ControlFlowTok"/>
    <w:basedOn w:val="51"/>
    <w:qFormat/>
    <w:uiPriority w:val="0"/>
    <w:rPr>
      <w:b/>
      <w:color w:val="007020"/>
    </w:rPr>
  </w:style>
  <w:style w:type="character" w:customStyle="1" w:styleId="75">
    <w:name w:val="OperatorTok"/>
    <w:basedOn w:val="51"/>
    <w:qFormat/>
    <w:uiPriority w:val="0"/>
    <w:rPr>
      <w:color w:val="666666"/>
    </w:rPr>
  </w:style>
  <w:style w:type="character" w:customStyle="1" w:styleId="76">
    <w:name w:val="BuiltInTok"/>
    <w:basedOn w:val="51"/>
    <w:qFormat/>
    <w:uiPriority w:val="0"/>
    <w:rPr>
      <w:color w:val="008000"/>
    </w:rPr>
  </w:style>
  <w:style w:type="character" w:customStyle="1" w:styleId="77">
    <w:name w:val="ExtensionTok"/>
    <w:basedOn w:val="51"/>
    <w:qFormat/>
    <w:uiPriority w:val="0"/>
  </w:style>
  <w:style w:type="character" w:customStyle="1" w:styleId="78">
    <w:name w:val="PreprocessorTok"/>
    <w:basedOn w:val="51"/>
    <w:qFormat/>
    <w:uiPriority w:val="0"/>
    <w:rPr>
      <w:color w:val="BC7A00"/>
    </w:rPr>
  </w:style>
  <w:style w:type="character" w:customStyle="1" w:styleId="79">
    <w:name w:val="AttributeTok"/>
    <w:basedOn w:val="51"/>
    <w:qFormat/>
    <w:uiPriority w:val="0"/>
    <w:rPr>
      <w:color w:val="7D9029"/>
    </w:rPr>
  </w:style>
  <w:style w:type="character" w:customStyle="1" w:styleId="80">
    <w:name w:val="RegionMarkerTok"/>
    <w:basedOn w:val="51"/>
    <w:qFormat/>
    <w:uiPriority w:val="0"/>
  </w:style>
  <w:style w:type="character" w:customStyle="1" w:styleId="81">
    <w:name w:val="InformationTok"/>
    <w:basedOn w:val="51"/>
    <w:qFormat/>
    <w:uiPriority w:val="0"/>
    <w:rPr>
      <w:b/>
      <w:i/>
      <w:color w:val="60A0B0"/>
    </w:rPr>
  </w:style>
  <w:style w:type="character" w:customStyle="1" w:styleId="82">
    <w:name w:val="WarningTok"/>
    <w:basedOn w:val="51"/>
    <w:qFormat/>
    <w:uiPriority w:val="0"/>
    <w:rPr>
      <w:b/>
      <w:i/>
      <w:color w:val="60A0B0"/>
    </w:rPr>
  </w:style>
  <w:style w:type="character" w:customStyle="1" w:styleId="83">
    <w:name w:val="AlertTok"/>
    <w:basedOn w:val="51"/>
    <w:qFormat/>
    <w:uiPriority w:val="0"/>
    <w:rPr>
      <w:b/>
      <w:color w:val="FF0000"/>
    </w:rPr>
  </w:style>
  <w:style w:type="character" w:customStyle="1" w:styleId="84">
    <w:name w:val="ErrorTok"/>
    <w:basedOn w:val="51"/>
    <w:qFormat/>
    <w:uiPriority w:val="0"/>
    <w:rPr>
      <w:b/>
      <w:color w:val="FF0000"/>
    </w:rPr>
  </w:style>
  <w:style w:type="character" w:customStyle="1" w:styleId="85">
    <w:name w:val="NormalTok"/>
    <w:basedOn w:val="51"/>
    <w:qFormat/>
    <w:uiPriority w:val="0"/>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15</Pages>
  <Words>6069</Words>
  <Characters>6513</Characters>
  <Lines>12</Lines>
  <Paragraphs>8</Paragraphs>
  <TotalTime>0</TotalTime>
  <ScaleCrop>false</ScaleCrop>
  <LinksUpToDate>false</LinksUpToDate>
  <CharactersWithSpaces>6560</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2026-07-23T12:02:00Z</dcterms:created>
  <dc:creator>A</dc:creator>
  <cp:lastModifiedBy>张衷华</cp:lastModifiedBy>
  <dcterms:modified xsi:type="dcterms:W3CDTF">2026-07-28T05:56:39Z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eyJoZGlkIjoiMDA2MWRlMWYzYjNiNzA1NGE4MmZkZGZkMmM2NDkwMWEiLCJ1c2VySWQiOiI3NTUyMTgxMDAifQ==</vt:lpwstr>
  </property>
  <property fmtid="{D5CDD505-2E9C-101B-9397-08002B2CF9AE}" pid="3" name="KSOProductBuildVer">
    <vt:lpwstr>2052-12.1.0.26895</vt:lpwstr>
  </property>
  <property fmtid="{D5CDD505-2E9C-101B-9397-08002B2CF9AE}" pid="4" name="ICV">
    <vt:lpwstr>B9FC268852014C0A96746445CE9B620D_12</vt:lpwstr>
  </property>
</Properties>
</file>