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E0B5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9643648">
            <w:pPr>
              <w:pStyle w:val="20"/>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4835972">
            <w:pPr>
              <w:pStyle w:val="20"/>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65.02.01</w:t>
            </w:r>
            <w:r>
              <w:rPr>
                <w:rFonts w:ascii="黑体" w:hAnsi="黑体" w:eastAsia="黑体"/>
                <w:sz w:val="21"/>
                <w:szCs w:val="21"/>
              </w:rPr>
              <w:fldChar w:fldCharType="end"/>
            </w:r>
            <w:bookmarkEnd w:id="0"/>
          </w:p>
        </w:tc>
      </w:tr>
      <w:tr w14:paraId="360AC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4F518F1">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F5B652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9CAACFF">
                  <w:pPr>
                    <w:pStyle w:val="53"/>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3043D9E4">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2"/>
          </w:p>
        </w:tc>
      </w:tr>
    </w:tbl>
    <w:p w14:paraId="55C3CF88">
      <w:pPr>
        <w:pStyle w:val="54"/>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黑龙江省林学会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53FD6793">
      <w:pPr>
        <w:pStyle w:val="199"/>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B7B6412">
      <w:pPr>
        <w:pStyle w:val="200"/>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7BACF13">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A6B8C9">
      <w:pPr>
        <w:pStyle w:val="54"/>
        <w:framePr w:w="9639" w:h="6976" w:hRule="exact" w:hSpace="0" w:vSpace="0" w:wrap="around" w:hAnchor="page" w:y="6408"/>
        <w:jc w:val="center"/>
        <w:rPr>
          <w:rFonts w:hint="eastAsia" w:ascii="黑体" w:hAnsi="黑体" w:eastAsia="黑体"/>
          <w:b w:val="0"/>
          <w:bCs w:val="0"/>
          <w:w w:val="100"/>
        </w:rPr>
      </w:pPr>
    </w:p>
    <w:p w14:paraId="2B0BC94B">
      <w:pPr>
        <w:pStyle w:val="201"/>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林草生态系统碳汇和碳排放</w:t>
      </w:r>
    </w:p>
    <w:p w14:paraId="7E3606A7">
      <w:pPr>
        <w:pStyle w:val="201"/>
        <w:framePr w:h="6974" w:hRule="exact" w:wrap="around" w:x="1419" w:anchorLock="1"/>
        <w:rPr>
          <w:rFonts w:hint="eastAsia"/>
        </w:rPr>
      </w:pPr>
      <w:r>
        <w:rPr>
          <w:rFonts w:hint="eastAsia"/>
        </w:rPr>
        <w:t>核算技术规范</w:t>
      </w:r>
      <w:r>
        <w:fldChar w:fldCharType="end"/>
      </w:r>
      <w:bookmarkEnd w:id="9"/>
    </w:p>
    <w:p w14:paraId="79AA2EA6">
      <w:pPr>
        <w:framePr w:w="9639" w:h="6974" w:hRule="exact" w:wrap="around" w:vAnchor="page" w:hAnchor="page" w:x="1419" w:y="6408" w:anchorLock="1"/>
        <w:ind w:left="-1418"/>
      </w:pPr>
    </w:p>
    <w:p w14:paraId="10CC8B6C">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 </w:t>
      </w:r>
      <w:r>
        <w:rPr>
          <w:rFonts w:eastAsia="黑体"/>
          <w:szCs w:val="28"/>
        </w:rPr>
        <w:fldChar w:fldCharType="end"/>
      </w:r>
      <w:bookmarkEnd w:id="10"/>
    </w:p>
    <w:p w14:paraId="120D5E1E">
      <w:pPr>
        <w:framePr w:w="9639" w:h="6974" w:hRule="exact" w:wrap="around" w:vAnchor="page" w:hAnchor="page" w:x="1419" w:y="6408" w:anchorLock="1"/>
        <w:spacing w:line="760" w:lineRule="exact"/>
        <w:ind w:left="-1418"/>
      </w:pPr>
    </w:p>
    <w:p w14:paraId="25E05B00">
      <w:pPr>
        <w:pStyle w:val="129"/>
        <w:framePr w:w="9639" w:h="6974" w:hRule="exact" w:wrap="around" w:vAnchor="page" w:hAnchor="page" w:x="1419" w:y="6408" w:anchorLock="1"/>
        <w:textAlignment w:val="bottom"/>
        <w:rPr>
          <w:rFonts w:eastAsia="黑体"/>
          <w:szCs w:val="28"/>
        </w:rPr>
      </w:pPr>
    </w:p>
    <w:p w14:paraId="2B0FC806">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7794A6D">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328EC93">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40886FC">
      <w:pPr>
        <w:pStyle w:val="19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62F6B9C">
      <w:pPr>
        <w:pStyle w:val="19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43FEF19">
      <w:pPr>
        <w:pStyle w:val="155"/>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黑龙江省林学会</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03C49177">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70D2D9E">
      <w:pPr>
        <w:pStyle w:val="95"/>
        <w:spacing w:after="360"/>
      </w:pPr>
      <w:bookmarkStart w:id="21" w:name="BookMark1"/>
      <w:r>
        <w:rPr>
          <w:rFonts w:hint="eastAsia"/>
          <w:spacing w:val="320"/>
        </w:rPr>
        <w:t>目</w:t>
      </w:r>
      <w:r>
        <w:rPr>
          <w:rFonts w:hint="eastAsia"/>
        </w:rPr>
        <w:t>次</w:t>
      </w:r>
    </w:p>
    <w:p w14:paraId="12AE5442">
      <w:pPr>
        <w:pStyle w:val="21"/>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_Toc22616 </w:instrText>
      </w:r>
      <w:r>
        <w:fldChar w:fldCharType="separate"/>
      </w:r>
      <w:r>
        <w:rPr>
          <w:spacing w:val="320"/>
        </w:rPr>
        <w:t>前</w:t>
      </w:r>
      <w:r>
        <w:t>言</w:t>
      </w:r>
      <w:r>
        <w:tab/>
      </w:r>
      <w:r>
        <w:fldChar w:fldCharType="begin"/>
      </w:r>
      <w:r>
        <w:instrText xml:space="preserve"> PAGEREF _Toc22616 \h </w:instrText>
      </w:r>
      <w:r>
        <w:fldChar w:fldCharType="separate"/>
      </w:r>
      <w:r>
        <w:t>II</w:t>
      </w:r>
      <w:r>
        <w:fldChar w:fldCharType="end"/>
      </w:r>
      <w:r>
        <w:fldChar w:fldCharType="end"/>
      </w:r>
    </w:p>
    <w:p w14:paraId="1EDC5751">
      <w:pPr>
        <w:pStyle w:val="21"/>
        <w:tabs>
          <w:tab w:val="right" w:leader="dot" w:pos="9354"/>
        </w:tabs>
      </w:pPr>
      <w:r>
        <w:fldChar w:fldCharType="begin"/>
      </w:r>
      <w:r>
        <w:instrText xml:space="preserve"> HYPERLINK \l _Toc5023 </w:instrText>
      </w:r>
      <w:r>
        <w:fldChar w:fldCharType="separate"/>
      </w:r>
      <w:r>
        <w:rPr>
          <w:rFonts w:hint="eastAsia" w:ascii="黑体" w:eastAsia="黑体"/>
          <w:i w:val="0"/>
        </w:rPr>
        <w:t xml:space="preserve">1 </w:t>
      </w:r>
      <w:r>
        <w:rPr>
          <w:rFonts w:ascii="Times New Roman"/>
        </w:rPr>
        <w:t>范围</w:t>
      </w:r>
      <w:r>
        <w:tab/>
      </w:r>
      <w:r>
        <w:fldChar w:fldCharType="begin"/>
      </w:r>
      <w:r>
        <w:instrText xml:space="preserve"> PAGEREF _Toc5023 \h </w:instrText>
      </w:r>
      <w:r>
        <w:fldChar w:fldCharType="separate"/>
      </w:r>
      <w:r>
        <w:t>3</w:t>
      </w:r>
      <w:r>
        <w:fldChar w:fldCharType="end"/>
      </w:r>
      <w:r>
        <w:fldChar w:fldCharType="end"/>
      </w:r>
    </w:p>
    <w:p w14:paraId="2B2A932A">
      <w:pPr>
        <w:pStyle w:val="21"/>
        <w:tabs>
          <w:tab w:val="right" w:leader="dot" w:pos="9354"/>
        </w:tabs>
      </w:pPr>
      <w:r>
        <w:fldChar w:fldCharType="begin"/>
      </w:r>
      <w:r>
        <w:instrText xml:space="preserve"> HYPERLINK \l _Toc23723 </w:instrText>
      </w:r>
      <w:r>
        <w:fldChar w:fldCharType="separate"/>
      </w:r>
      <w:r>
        <w:rPr>
          <w:rFonts w:hint="eastAsia" w:ascii="黑体" w:eastAsia="黑体"/>
          <w:i w:val="0"/>
        </w:rPr>
        <w:t xml:space="preserve">2 </w:t>
      </w:r>
      <w:r>
        <w:rPr>
          <w:rFonts w:ascii="Times New Roman"/>
        </w:rPr>
        <w:t>规范性引用文件</w:t>
      </w:r>
      <w:r>
        <w:tab/>
      </w:r>
      <w:r>
        <w:fldChar w:fldCharType="begin"/>
      </w:r>
      <w:r>
        <w:instrText xml:space="preserve"> PAGEREF _Toc23723 \h </w:instrText>
      </w:r>
      <w:r>
        <w:fldChar w:fldCharType="separate"/>
      </w:r>
      <w:r>
        <w:t>3</w:t>
      </w:r>
      <w:r>
        <w:fldChar w:fldCharType="end"/>
      </w:r>
      <w:r>
        <w:fldChar w:fldCharType="end"/>
      </w:r>
    </w:p>
    <w:p w14:paraId="6B459E3B">
      <w:pPr>
        <w:pStyle w:val="21"/>
        <w:tabs>
          <w:tab w:val="right" w:leader="dot" w:pos="9354"/>
        </w:tabs>
      </w:pPr>
      <w:r>
        <w:fldChar w:fldCharType="begin"/>
      </w:r>
      <w:r>
        <w:instrText xml:space="preserve"> HYPERLINK \l _Toc339 </w:instrText>
      </w:r>
      <w:r>
        <w:fldChar w:fldCharType="separate"/>
      </w:r>
      <w:r>
        <w:rPr>
          <w:rFonts w:hint="eastAsia" w:ascii="黑体" w:eastAsia="黑体"/>
          <w:i w:val="0"/>
        </w:rPr>
        <w:t xml:space="preserve">3 </w:t>
      </w:r>
      <w:r>
        <w:rPr>
          <w:rFonts w:ascii="Times New Roman"/>
        </w:rPr>
        <w:t>术语和定义</w:t>
      </w:r>
      <w:r>
        <w:tab/>
      </w:r>
      <w:r>
        <w:fldChar w:fldCharType="begin"/>
      </w:r>
      <w:r>
        <w:instrText xml:space="preserve"> PAGEREF _Toc339 \h </w:instrText>
      </w:r>
      <w:r>
        <w:fldChar w:fldCharType="separate"/>
      </w:r>
      <w:r>
        <w:t>3</w:t>
      </w:r>
      <w:r>
        <w:fldChar w:fldCharType="end"/>
      </w:r>
      <w:r>
        <w:fldChar w:fldCharType="end"/>
      </w:r>
    </w:p>
    <w:p w14:paraId="3DA9DDB2">
      <w:pPr>
        <w:pStyle w:val="21"/>
        <w:tabs>
          <w:tab w:val="right" w:leader="dot" w:pos="9354"/>
        </w:tabs>
      </w:pPr>
      <w:r>
        <w:fldChar w:fldCharType="begin"/>
      </w:r>
      <w:r>
        <w:instrText xml:space="preserve"> HYPERLINK \l _Toc678 </w:instrText>
      </w:r>
      <w:r>
        <w:fldChar w:fldCharType="separate"/>
      </w:r>
      <w:r>
        <w:rPr>
          <w:rFonts w:hint="eastAsia" w:ascii="黑体" w:eastAsia="黑体"/>
          <w:i w:val="0"/>
        </w:rPr>
        <w:t xml:space="preserve">4 </w:t>
      </w:r>
      <w:r>
        <w:rPr>
          <w:rFonts w:ascii="Times New Roman"/>
        </w:rPr>
        <w:t>数据处理</w:t>
      </w:r>
      <w:r>
        <w:tab/>
      </w:r>
      <w:r>
        <w:fldChar w:fldCharType="begin"/>
      </w:r>
      <w:r>
        <w:instrText xml:space="preserve"> PAGEREF _Toc678 \h </w:instrText>
      </w:r>
      <w:r>
        <w:fldChar w:fldCharType="separate"/>
      </w:r>
      <w:r>
        <w:t>4</w:t>
      </w:r>
      <w:r>
        <w:fldChar w:fldCharType="end"/>
      </w:r>
      <w:r>
        <w:fldChar w:fldCharType="end"/>
      </w:r>
    </w:p>
    <w:p w14:paraId="4D820BD1">
      <w:pPr>
        <w:pStyle w:val="26"/>
        <w:tabs>
          <w:tab w:val="right" w:leader="dot" w:pos="9354"/>
          <w:tab w:val="clear" w:pos="9344"/>
        </w:tabs>
      </w:pPr>
      <w:r>
        <w:fldChar w:fldCharType="begin"/>
      </w:r>
      <w:r>
        <w:instrText xml:space="preserve"> HYPERLINK \l _Toc9401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ascii="Times New Roman"/>
        </w:rPr>
        <w:t>数据裁剪</w:t>
      </w:r>
      <w:r>
        <w:tab/>
      </w:r>
      <w:r>
        <w:fldChar w:fldCharType="begin"/>
      </w:r>
      <w:r>
        <w:instrText xml:space="preserve"> PAGEREF _Toc9401 \h </w:instrText>
      </w:r>
      <w:r>
        <w:fldChar w:fldCharType="separate"/>
      </w:r>
      <w:r>
        <w:t>4</w:t>
      </w:r>
      <w:r>
        <w:fldChar w:fldCharType="end"/>
      </w:r>
      <w:r>
        <w:fldChar w:fldCharType="end"/>
      </w:r>
    </w:p>
    <w:p w14:paraId="6D98296F">
      <w:pPr>
        <w:pStyle w:val="26"/>
        <w:tabs>
          <w:tab w:val="right" w:leader="dot" w:pos="9354"/>
          <w:tab w:val="clear" w:pos="9344"/>
        </w:tabs>
      </w:pPr>
      <w:r>
        <w:fldChar w:fldCharType="begin"/>
      </w:r>
      <w:r>
        <w:instrText xml:space="preserve"> HYPERLINK \l _Toc12429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ascii="Times New Roman"/>
        </w:rPr>
        <w:t>噪声去除</w:t>
      </w:r>
      <w:r>
        <w:tab/>
      </w:r>
      <w:r>
        <w:fldChar w:fldCharType="begin"/>
      </w:r>
      <w:r>
        <w:instrText xml:space="preserve"> PAGEREF _Toc12429 \h </w:instrText>
      </w:r>
      <w:r>
        <w:fldChar w:fldCharType="separate"/>
      </w:r>
      <w:r>
        <w:t>4</w:t>
      </w:r>
      <w:r>
        <w:fldChar w:fldCharType="end"/>
      </w:r>
      <w:r>
        <w:fldChar w:fldCharType="end"/>
      </w:r>
    </w:p>
    <w:p w14:paraId="2CEF622C">
      <w:pPr>
        <w:pStyle w:val="26"/>
        <w:tabs>
          <w:tab w:val="right" w:leader="dot" w:pos="9354"/>
          <w:tab w:val="clear" w:pos="9344"/>
        </w:tabs>
      </w:pPr>
      <w:r>
        <w:fldChar w:fldCharType="begin"/>
      </w:r>
      <w:r>
        <w:instrText xml:space="preserve"> HYPERLINK \l _Toc19032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ascii="Times New Roman"/>
        </w:rPr>
        <w:t>去云/去阴影</w:t>
      </w:r>
      <w:r>
        <w:tab/>
      </w:r>
      <w:r>
        <w:fldChar w:fldCharType="begin"/>
      </w:r>
      <w:r>
        <w:instrText xml:space="preserve"> PAGEREF _Toc19032 \h </w:instrText>
      </w:r>
      <w:r>
        <w:fldChar w:fldCharType="separate"/>
      </w:r>
      <w:r>
        <w:t>4</w:t>
      </w:r>
      <w:r>
        <w:fldChar w:fldCharType="end"/>
      </w:r>
      <w:r>
        <w:fldChar w:fldCharType="end"/>
      </w:r>
    </w:p>
    <w:p w14:paraId="1E32BAFD">
      <w:pPr>
        <w:pStyle w:val="21"/>
        <w:tabs>
          <w:tab w:val="right" w:leader="dot" w:pos="9354"/>
        </w:tabs>
      </w:pPr>
      <w:r>
        <w:fldChar w:fldCharType="begin"/>
      </w:r>
      <w:r>
        <w:instrText xml:space="preserve"> HYPERLINK \l _Toc19156 </w:instrText>
      </w:r>
      <w:r>
        <w:fldChar w:fldCharType="separate"/>
      </w:r>
      <w:r>
        <w:rPr>
          <w:rFonts w:hint="eastAsia" w:ascii="黑体" w:eastAsia="黑体"/>
          <w:i w:val="0"/>
        </w:rPr>
        <w:t xml:space="preserve">5 </w:t>
      </w:r>
      <w:r>
        <w:rPr>
          <w:rFonts w:ascii="Times New Roman"/>
        </w:rPr>
        <w:t>模型构建</w:t>
      </w:r>
      <w:r>
        <w:tab/>
      </w:r>
      <w:r>
        <w:fldChar w:fldCharType="begin"/>
      </w:r>
      <w:r>
        <w:instrText xml:space="preserve"> PAGEREF _Toc19156 \h </w:instrText>
      </w:r>
      <w:r>
        <w:fldChar w:fldCharType="separate"/>
      </w:r>
      <w:r>
        <w:t>4</w:t>
      </w:r>
      <w:r>
        <w:fldChar w:fldCharType="end"/>
      </w:r>
      <w:r>
        <w:fldChar w:fldCharType="end"/>
      </w:r>
    </w:p>
    <w:p w14:paraId="67C889FF">
      <w:pPr>
        <w:pStyle w:val="26"/>
        <w:tabs>
          <w:tab w:val="right" w:leader="dot" w:pos="9354"/>
          <w:tab w:val="clear" w:pos="9344"/>
        </w:tabs>
      </w:pPr>
      <w:r>
        <w:fldChar w:fldCharType="begin"/>
      </w:r>
      <w:r>
        <w:instrText xml:space="preserve"> HYPERLINK \l _Toc3763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ascii="Times New Roman"/>
        </w:rPr>
        <w:t>机器学习算法</w:t>
      </w:r>
      <w:r>
        <w:tab/>
      </w:r>
      <w:r>
        <w:fldChar w:fldCharType="begin"/>
      </w:r>
      <w:r>
        <w:instrText xml:space="preserve"> PAGEREF _Toc3763 \h </w:instrText>
      </w:r>
      <w:r>
        <w:fldChar w:fldCharType="separate"/>
      </w:r>
      <w:r>
        <w:t>4</w:t>
      </w:r>
      <w:r>
        <w:fldChar w:fldCharType="end"/>
      </w:r>
      <w:r>
        <w:fldChar w:fldCharType="end"/>
      </w:r>
    </w:p>
    <w:p w14:paraId="7D7142DE">
      <w:pPr>
        <w:pStyle w:val="26"/>
        <w:tabs>
          <w:tab w:val="right" w:leader="dot" w:pos="9354"/>
          <w:tab w:val="clear" w:pos="9344"/>
        </w:tabs>
      </w:pPr>
      <w:r>
        <w:fldChar w:fldCharType="begin"/>
      </w:r>
      <w:r>
        <w:instrText xml:space="preserve"> HYPERLINK \l _Toc9807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ascii="Times New Roman"/>
        </w:rPr>
        <w:t>生态学过程模型</w:t>
      </w:r>
      <w:r>
        <w:tab/>
      </w:r>
      <w:r>
        <w:fldChar w:fldCharType="begin"/>
      </w:r>
      <w:r>
        <w:instrText xml:space="preserve"> PAGEREF _Toc9807 \h </w:instrText>
      </w:r>
      <w:r>
        <w:fldChar w:fldCharType="separate"/>
      </w:r>
      <w:r>
        <w:t>5</w:t>
      </w:r>
      <w:r>
        <w:fldChar w:fldCharType="end"/>
      </w:r>
      <w:r>
        <w:fldChar w:fldCharType="end"/>
      </w:r>
    </w:p>
    <w:p w14:paraId="1610EA5F">
      <w:pPr>
        <w:pStyle w:val="21"/>
        <w:tabs>
          <w:tab w:val="right" w:leader="dot" w:pos="9354"/>
        </w:tabs>
      </w:pPr>
      <w:r>
        <w:fldChar w:fldCharType="begin"/>
      </w:r>
      <w:r>
        <w:instrText xml:space="preserve"> HYPERLINK \l _Toc23622 </w:instrText>
      </w:r>
      <w:r>
        <w:fldChar w:fldCharType="separate"/>
      </w:r>
      <w:r>
        <w:rPr>
          <w:rFonts w:hint="eastAsia" w:ascii="黑体" w:eastAsia="黑体"/>
          <w:i w:val="0"/>
        </w:rPr>
        <w:t xml:space="preserve">6 </w:t>
      </w:r>
      <w:r>
        <w:rPr>
          <w:rFonts w:ascii="Times New Roman"/>
        </w:rPr>
        <w:t>数据来源</w:t>
      </w:r>
      <w:r>
        <w:tab/>
      </w:r>
      <w:r>
        <w:fldChar w:fldCharType="begin"/>
      </w:r>
      <w:r>
        <w:instrText xml:space="preserve"> PAGEREF _Toc23622 \h </w:instrText>
      </w:r>
      <w:r>
        <w:fldChar w:fldCharType="separate"/>
      </w:r>
      <w:r>
        <w:t>5</w:t>
      </w:r>
      <w:r>
        <w:fldChar w:fldCharType="end"/>
      </w:r>
      <w:r>
        <w:fldChar w:fldCharType="end"/>
      </w:r>
    </w:p>
    <w:p w14:paraId="4A4F91D4">
      <w:pPr>
        <w:pStyle w:val="26"/>
        <w:tabs>
          <w:tab w:val="right" w:leader="dot" w:pos="9354"/>
          <w:tab w:val="clear" w:pos="9344"/>
        </w:tabs>
      </w:pPr>
      <w:r>
        <w:fldChar w:fldCharType="begin"/>
      </w:r>
      <w:r>
        <w:instrText xml:space="preserve"> HYPERLINK \l _Toc4270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Times New Roman"/>
        </w:rPr>
        <w:t>外业实测数据</w:t>
      </w:r>
      <w:r>
        <w:tab/>
      </w:r>
      <w:r>
        <w:fldChar w:fldCharType="begin"/>
      </w:r>
      <w:r>
        <w:instrText xml:space="preserve"> PAGEREF _Toc4270 \h </w:instrText>
      </w:r>
      <w:r>
        <w:fldChar w:fldCharType="separate"/>
      </w:r>
      <w:r>
        <w:t>5</w:t>
      </w:r>
      <w:r>
        <w:fldChar w:fldCharType="end"/>
      </w:r>
      <w:r>
        <w:fldChar w:fldCharType="end"/>
      </w:r>
    </w:p>
    <w:p w14:paraId="6AD63C1F">
      <w:pPr>
        <w:pStyle w:val="26"/>
        <w:tabs>
          <w:tab w:val="right" w:leader="dot" w:pos="9354"/>
          <w:tab w:val="clear" w:pos="9344"/>
        </w:tabs>
      </w:pPr>
      <w:r>
        <w:fldChar w:fldCharType="begin"/>
      </w:r>
      <w:r>
        <w:instrText xml:space="preserve"> HYPERLINK \l _Toc19070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Times New Roman"/>
        </w:rPr>
        <w:t>多源遥感数据</w:t>
      </w:r>
      <w:r>
        <w:tab/>
      </w:r>
      <w:r>
        <w:fldChar w:fldCharType="begin"/>
      </w:r>
      <w:r>
        <w:instrText xml:space="preserve"> PAGEREF _Toc19070 \h </w:instrText>
      </w:r>
      <w:r>
        <w:fldChar w:fldCharType="separate"/>
      </w:r>
      <w:r>
        <w:t>5</w:t>
      </w:r>
      <w:r>
        <w:fldChar w:fldCharType="end"/>
      </w:r>
      <w:r>
        <w:fldChar w:fldCharType="end"/>
      </w:r>
    </w:p>
    <w:p w14:paraId="79927705">
      <w:pPr>
        <w:pStyle w:val="26"/>
        <w:tabs>
          <w:tab w:val="right" w:leader="dot" w:pos="9354"/>
          <w:tab w:val="clear" w:pos="9344"/>
        </w:tabs>
      </w:pPr>
      <w:r>
        <w:fldChar w:fldCharType="begin"/>
      </w:r>
      <w:r>
        <w:instrText xml:space="preserve"> HYPERLINK \l _Toc18985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Times New Roman"/>
        </w:rPr>
        <w:t>年鉴数据</w:t>
      </w:r>
      <w:r>
        <w:tab/>
      </w:r>
      <w:r>
        <w:fldChar w:fldCharType="begin"/>
      </w:r>
      <w:r>
        <w:instrText xml:space="preserve"> PAGEREF _Toc18985 \h </w:instrText>
      </w:r>
      <w:r>
        <w:fldChar w:fldCharType="separate"/>
      </w:r>
      <w:r>
        <w:t>5</w:t>
      </w:r>
      <w:r>
        <w:fldChar w:fldCharType="end"/>
      </w:r>
      <w:r>
        <w:fldChar w:fldCharType="end"/>
      </w:r>
    </w:p>
    <w:p w14:paraId="6C621215">
      <w:pPr>
        <w:pStyle w:val="21"/>
        <w:tabs>
          <w:tab w:val="right" w:leader="dot" w:pos="9354"/>
        </w:tabs>
      </w:pPr>
      <w:r>
        <w:fldChar w:fldCharType="begin"/>
      </w:r>
      <w:r>
        <w:instrText xml:space="preserve"> HYPERLINK \l _Toc27972 </w:instrText>
      </w:r>
      <w:r>
        <w:fldChar w:fldCharType="separate"/>
      </w:r>
      <w:r>
        <w:rPr>
          <w:rFonts w:hint="eastAsia" w:ascii="黑体" w:eastAsia="黑体"/>
          <w:i w:val="0"/>
        </w:rPr>
        <w:t xml:space="preserve">7 </w:t>
      </w:r>
      <w:r>
        <w:rPr>
          <w:rFonts w:hint="eastAsia" w:ascii="Times New Roman"/>
        </w:rPr>
        <w:t>计算过程</w:t>
      </w:r>
      <w:r>
        <w:tab/>
      </w:r>
      <w:r>
        <w:fldChar w:fldCharType="begin"/>
      </w:r>
      <w:r>
        <w:instrText xml:space="preserve"> PAGEREF _Toc27972 \h </w:instrText>
      </w:r>
      <w:r>
        <w:fldChar w:fldCharType="separate"/>
      </w:r>
      <w:r>
        <w:t>5</w:t>
      </w:r>
      <w:r>
        <w:fldChar w:fldCharType="end"/>
      </w:r>
      <w:r>
        <w:fldChar w:fldCharType="end"/>
      </w:r>
    </w:p>
    <w:p w14:paraId="054892A2">
      <w:pPr>
        <w:pStyle w:val="26"/>
        <w:tabs>
          <w:tab w:val="right" w:leader="dot" w:pos="9354"/>
          <w:tab w:val="clear" w:pos="9344"/>
        </w:tabs>
      </w:pPr>
      <w:r>
        <w:fldChar w:fldCharType="begin"/>
      </w:r>
      <w:r>
        <w:instrText xml:space="preserve"> HYPERLINK \l _Toc24910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ascii="Times New Roman"/>
        </w:rPr>
        <w:t>碳储量计算</w:t>
      </w:r>
      <w:r>
        <w:tab/>
      </w:r>
      <w:r>
        <w:fldChar w:fldCharType="begin"/>
      </w:r>
      <w:r>
        <w:instrText xml:space="preserve"> PAGEREF _Toc24910 \h </w:instrText>
      </w:r>
      <w:r>
        <w:fldChar w:fldCharType="separate"/>
      </w:r>
      <w:r>
        <w:t>5</w:t>
      </w:r>
      <w:r>
        <w:fldChar w:fldCharType="end"/>
      </w:r>
      <w:r>
        <w:fldChar w:fldCharType="end"/>
      </w:r>
    </w:p>
    <w:p w14:paraId="107B2C5B">
      <w:pPr>
        <w:pStyle w:val="26"/>
        <w:tabs>
          <w:tab w:val="right" w:leader="dot" w:pos="9354"/>
          <w:tab w:val="clear" w:pos="9344"/>
        </w:tabs>
      </w:pPr>
      <w:r>
        <w:fldChar w:fldCharType="begin"/>
      </w:r>
      <w:r>
        <w:instrText xml:space="preserve"> HYPERLINK \l _Toc25110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ascii="Times New Roman"/>
        </w:rPr>
        <w:t>碳固存量计算</w:t>
      </w:r>
      <w:r>
        <w:tab/>
      </w:r>
      <w:r>
        <w:fldChar w:fldCharType="begin"/>
      </w:r>
      <w:r>
        <w:instrText xml:space="preserve"> PAGEREF _Toc25110 \h </w:instrText>
      </w:r>
      <w:r>
        <w:fldChar w:fldCharType="separate"/>
      </w:r>
      <w:r>
        <w:t>5</w:t>
      </w:r>
      <w:r>
        <w:fldChar w:fldCharType="end"/>
      </w:r>
      <w:r>
        <w:fldChar w:fldCharType="end"/>
      </w:r>
    </w:p>
    <w:p w14:paraId="15AA81B6">
      <w:pPr>
        <w:pStyle w:val="26"/>
        <w:tabs>
          <w:tab w:val="right" w:leader="dot" w:pos="9354"/>
          <w:tab w:val="clear" w:pos="9344"/>
        </w:tabs>
      </w:pPr>
      <w:r>
        <w:fldChar w:fldCharType="begin"/>
      </w:r>
      <w:r>
        <w:instrText xml:space="preserve"> HYPERLINK \l _Toc10809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ascii="Times New Roman"/>
        </w:rPr>
        <w:t>碳排放量计算</w:t>
      </w:r>
      <w:r>
        <w:tab/>
      </w:r>
      <w:r>
        <w:fldChar w:fldCharType="begin"/>
      </w:r>
      <w:r>
        <w:instrText xml:space="preserve"> PAGEREF _Toc10809 \h </w:instrText>
      </w:r>
      <w:r>
        <w:fldChar w:fldCharType="separate"/>
      </w:r>
      <w:r>
        <w:t>6</w:t>
      </w:r>
      <w:r>
        <w:fldChar w:fldCharType="end"/>
      </w:r>
      <w:r>
        <w:fldChar w:fldCharType="end"/>
      </w:r>
    </w:p>
    <w:p w14:paraId="21F3322B">
      <w:pPr>
        <w:pStyle w:val="21"/>
        <w:tabs>
          <w:tab w:val="right" w:leader="dot" w:pos="9354"/>
        </w:tabs>
      </w:pPr>
      <w:r>
        <w:fldChar w:fldCharType="begin"/>
      </w:r>
      <w:r>
        <w:instrText xml:space="preserve"> HYPERLINK \l _Toc3786 </w:instrText>
      </w:r>
      <w:r>
        <w:fldChar w:fldCharType="separate"/>
      </w:r>
      <w:r>
        <w:rPr>
          <w:rFonts w:hint="eastAsia" w:ascii="黑体" w:eastAsia="黑体"/>
          <w:i w:val="0"/>
        </w:rPr>
        <w:t xml:space="preserve">8 </w:t>
      </w:r>
      <w:r>
        <w:rPr>
          <w:rFonts w:ascii="Times New Roman"/>
        </w:rPr>
        <w:t>参数校正</w:t>
      </w:r>
      <w:r>
        <w:tab/>
      </w:r>
      <w:r>
        <w:fldChar w:fldCharType="begin"/>
      </w:r>
      <w:r>
        <w:instrText xml:space="preserve"> PAGEREF _Toc3786 \h </w:instrText>
      </w:r>
      <w:r>
        <w:fldChar w:fldCharType="separate"/>
      </w:r>
      <w:r>
        <w:t>6</w:t>
      </w:r>
      <w:r>
        <w:fldChar w:fldCharType="end"/>
      </w:r>
      <w:r>
        <w:fldChar w:fldCharType="end"/>
      </w:r>
    </w:p>
    <w:p w14:paraId="0EB597B3">
      <w:pPr>
        <w:pStyle w:val="21"/>
        <w:tabs>
          <w:tab w:val="right" w:leader="dot" w:pos="9354"/>
        </w:tabs>
      </w:pPr>
      <w:r>
        <w:fldChar w:fldCharType="begin"/>
      </w:r>
      <w:r>
        <w:instrText xml:space="preserve"> HYPERLINK \l _Toc5334 </w:instrText>
      </w:r>
      <w:r>
        <w:fldChar w:fldCharType="separate"/>
      </w:r>
      <w:r>
        <w:rPr>
          <w:rFonts w:hint="eastAsia" w:ascii="黑体" w:eastAsia="黑体"/>
          <w:i w:val="0"/>
        </w:rPr>
        <w:t xml:space="preserve">9 </w:t>
      </w:r>
      <w:r>
        <w:rPr>
          <w:rFonts w:ascii="Times New Roman"/>
        </w:rPr>
        <w:t>数据验证</w:t>
      </w:r>
      <w:r>
        <w:tab/>
      </w:r>
      <w:r>
        <w:fldChar w:fldCharType="begin"/>
      </w:r>
      <w:r>
        <w:instrText xml:space="preserve"> PAGEREF _Toc5334 \h </w:instrText>
      </w:r>
      <w:r>
        <w:fldChar w:fldCharType="separate"/>
      </w:r>
      <w:r>
        <w:t>7</w:t>
      </w:r>
      <w:r>
        <w:fldChar w:fldCharType="end"/>
      </w:r>
      <w:r>
        <w:fldChar w:fldCharType="end"/>
      </w:r>
    </w:p>
    <w:p w14:paraId="5E23F39A">
      <w:pPr>
        <w:pStyle w:val="21"/>
        <w:tabs>
          <w:tab w:val="right" w:leader="dot" w:pos="9354"/>
        </w:tabs>
      </w:pPr>
      <w:r>
        <w:fldChar w:fldCharType="begin"/>
      </w:r>
      <w:r>
        <w:instrText xml:space="preserve"> HYPERLINK \l _Toc26468 </w:instrText>
      </w:r>
      <w:r>
        <w:fldChar w:fldCharType="separate"/>
      </w:r>
      <w:r>
        <w:rPr>
          <w:rFonts w:hint="eastAsia" w:ascii="黑体" w:eastAsia="黑体"/>
          <w:i w:val="0"/>
        </w:rPr>
        <w:t xml:space="preserve">10 </w:t>
      </w:r>
      <w:r>
        <w:rPr>
          <w:rFonts w:ascii="Times New Roman"/>
        </w:rPr>
        <w:t>参考文献</w:t>
      </w:r>
      <w:r>
        <w:tab/>
      </w:r>
      <w:r>
        <w:fldChar w:fldCharType="begin"/>
      </w:r>
      <w:r>
        <w:instrText xml:space="preserve"> PAGEREF _Toc26468 \h </w:instrText>
      </w:r>
      <w:r>
        <w:fldChar w:fldCharType="separate"/>
      </w:r>
      <w:r>
        <w:t>7</w:t>
      </w:r>
      <w:r>
        <w:fldChar w:fldCharType="end"/>
      </w:r>
      <w:r>
        <w:fldChar w:fldCharType="end"/>
      </w:r>
    </w:p>
    <w:p w14:paraId="576B2183">
      <w:pPr>
        <w:pStyle w:val="95"/>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43F19341">
      <w:pPr>
        <w:pStyle w:val="93"/>
        <w:spacing w:after="360"/>
      </w:pPr>
      <w:bookmarkStart w:id="22" w:name="_Toc22616"/>
      <w:bookmarkStart w:id="23" w:name="BookMark2"/>
      <w:r>
        <w:rPr>
          <w:spacing w:val="320"/>
        </w:rPr>
        <w:t>前</w:t>
      </w:r>
      <w:r>
        <w:t>言</w:t>
      </w:r>
      <w:bookmarkEnd w:id="22"/>
    </w:p>
    <w:p w14:paraId="25AAF756">
      <w:pPr>
        <w:pStyle w:val="60"/>
        <w:ind w:firstLine="420"/>
        <w:rPr>
          <w:rFonts w:ascii="Times New Roman"/>
        </w:rPr>
      </w:pPr>
      <w:r>
        <w:rPr>
          <w:rFonts w:ascii="Times New Roman"/>
        </w:rPr>
        <w:t>本文件按照GB/T 1.1—2020《标准化工作导则  第1部分：标准化文件的结构和起草规则》的规定起草。</w:t>
      </w:r>
    </w:p>
    <w:p w14:paraId="2ADF661A">
      <w:pPr>
        <w:pStyle w:val="60"/>
        <w:ind w:firstLine="420"/>
        <w:rPr>
          <w:rFonts w:ascii="Times New Roman"/>
        </w:rPr>
      </w:pPr>
      <w:r>
        <w:rPr>
          <w:rFonts w:ascii="Times New Roman"/>
        </w:rPr>
        <w:t>请注意本文件的某些内容可能涉及专利。本文件的发布机构不承担识别专利的责任。</w:t>
      </w:r>
    </w:p>
    <w:p w14:paraId="575CAE56">
      <w:pPr>
        <w:pStyle w:val="60"/>
        <w:ind w:firstLine="420"/>
        <w:rPr>
          <w:rFonts w:ascii="Times New Roman"/>
        </w:rPr>
      </w:pPr>
      <w:r>
        <w:rPr>
          <w:rFonts w:ascii="Times New Roman"/>
        </w:rPr>
        <w:t>本文件由黑龙江省林学会提出并归口。</w:t>
      </w:r>
    </w:p>
    <w:p w14:paraId="1999109B">
      <w:pPr>
        <w:pStyle w:val="60"/>
        <w:ind w:firstLine="420"/>
        <w:rPr>
          <w:rFonts w:ascii="Times New Roman"/>
        </w:rPr>
      </w:pPr>
      <w:r>
        <w:rPr>
          <w:rFonts w:ascii="Times New Roman"/>
        </w:rPr>
        <w:t>本文件起草单位：哈尔滨师范大学，东北林业大学，黑龙江省林业科学院</w:t>
      </w:r>
      <w:r>
        <w:rPr>
          <w:rFonts w:hint="eastAsia" w:ascii="Times New Roman"/>
        </w:rPr>
        <w:t>，黑龙江省林业技术服务中心，大庆油田昆仑集团有限公司绿色生态产业公司</w:t>
      </w:r>
      <w:r>
        <w:rPr>
          <w:rFonts w:ascii="Times New Roman"/>
        </w:rPr>
        <w:t>。</w:t>
      </w:r>
    </w:p>
    <w:p w14:paraId="201ECB59">
      <w:pPr>
        <w:pStyle w:val="60"/>
        <w:ind w:firstLine="420"/>
        <w:rPr>
          <w:rFonts w:ascii="Times New Roman"/>
        </w:rPr>
      </w:pPr>
      <w:r>
        <w:rPr>
          <w:rFonts w:ascii="Times New Roman"/>
        </w:rPr>
        <w:t>本文件主要起草人：魏庆彬、隋庆宇、甄贞、</w:t>
      </w:r>
      <w:r>
        <w:rPr>
          <w:rFonts w:hint="eastAsia" w:ascii="Times New Roman"/>
        </w:rPr>
        <w:t>姬悦歆</w:t>
      </w:r>
      <w:r>
        <w:rPr>
          <w:rFonts w:hint="eastAsia" w:ascii="Times New Roman"/>
          <w:lang w:eastAsia="zh-CN"/>
        </w:rPr>
        <w:t>、</w:t>
      </w:r>
      <w:r>
        <w:rPr>
          <w:rFonts w:hint="eastAsia" w:ascii="Times New Roman"/>
        </w:rPr>
        <w:t>宋佳庚、</w:t>
      </w:r>
      <w:r>
        <w:rPr>
          <w:rFonts w:ascii="Times New Roman"/>
        </w:rPr>
        <w:t>倪红伟、臧淑英、李苗、马野</w:t>
      </w:r>
      <w:r>
        <w:rPr>
          <w:rFonts w:hint="eastAsia" w:ascii="Times New Roman"/>
        </w:rPr>
        <w:t>、王钊</w:t>
      </w:r>
      <w:r>
        <w:rPr>
          <w:rFonts w:ascii="Times New Roman"/>
        </w:rPr>
        <w:t>。</w:t>
      </w:r>
    </w:p>
    <w:p w14:paraId="586BE248">
      <w:pPr>
        <w:pStyle w:val="60"/>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3DD4D2E7">
      <w:pPr>
        <w:spacing w:line="20" w:lineRule="exact"/>
        <w:jc w:val="center"/>
        <w:rPr>
          <w:rFonts w:hint="eastAsia" w:ascii="黑体" w:hAnsi="黑体" w:eastAsia="黑体"/>
          <w:sz w:val="32"/>
          <w:szCs w:val="32"/>
        </w:rPr>
      </w:pPr>
      <w:bookmarkStart w:id="24" w:name="BookMark4"/>
    </w:p>
    <w:p w14:paraId="28ABAD3A">
      <w:pPr>
        <w:spacing w:line="20" w:lineRule="exact"/>
        <w:jc w:val="center"/>
        <w:rPr>
          <w:rFonts w:hint="eastAsia" w:ascii="黑体" w:hAnsi="黑体" w:eastAsia="黑体"/>
          <w:sz w:val="32"/>
          <w:szCs w:val="32"/>
        </w:rPr>
      </w:pPr>
    </w:p>
    <w:sdt>
      <w:sdtPr>
        <w:tag w:val="NEW_STAND_NAME"/>
        <w:id w:val="595910757"/>
        <w:lock w:val="sdtLocked"/>
        <w:placeholder>
          <w:docPart w:val="0160B3DD1B9A4E6FADEA1F14FE5D7CF7"/>
        </w:placeholder>
      </w:sdtPr>
      <w:sdtContent>
        <w:p w14:paraId="5D216495">
          <w:pPr>
            <w:pStyle w:val="181"/>
            <w:spacing w:before="240" w:beforeLines="100" w:after="528" w:afterLines="220"/>
            <w:rPr>
              <w:rFonts w:hint="eastAsia"/>
            </w:rPr>
          </w:pPr>
          <w:bookmarkStart w:id="25" w:name="NEW_STAND_NAME"/>
          <w:r>
            <w:rPr>
              <w:rFonts w:hint="eastAsia"/>
            </w:rPr>
            <w:t>林草生态系统碳汇和碳排放核算技术规范</w:t>
          </w:r>
        </w:p>
      </w:sdtContent>
    </w:sdt>
    <w:bookmarkEnd w:id="25"/>
    <w:p w14:paraId="651C9227">
      <w:pPr>
        <w:pStyle w:val="108"/>
        <w:spacing w:before="240" w:after="240"/>
        <w:rPr>
          <w:rFonts w:ascii="Times New Roman"/>
        </w:rPr>
      </w:pPr>
      <w:bookmarkStart w:id="26" w:name="_Toc26986771"/>
      <w:bookmarkStart w:id="27" w:name="_Toc17233333"/>
      <w:bookmarkStart w:id="28" w:name="_Toc24884211"/>
      <w:bookmarkStart w:id="29" w:name="_Toc24884218"/>
      <w:bookmarkStart w:id="30" w:name="_Toc26718930"/>
      <w:bookmarkStart w:id="31" w:name="_Toc26986530"/>
      <w:bookmarkStart w:id="32" w:name="_Toc97192964"/>
      <w:bookmarkStart w:id="33" w:name="_Toc17233325"/>
      <w:bookmarkStart w:id="34" w:name="_Toc26648465"/>
      <w:bookmarkStart w:id="35" w:name="_Toc5023"/>
      <w:r>
        <w:rPr>
          <w:rFonts w:ascii="Times New Roman"/>
        </w:rPr>
        <w:t>范围</w:t>
      </w:r>
      <w:bookmarkEnd w:id="26"/>
      <w:bookmarkEnd w:id="27"/>
      <w:bookmarkEnd w:id="28"/>
      <w:bookmarkEnd w:id="29"/>
      <w:bookmarkEnd w:id="30"/>
      <w:bookmarkEnd w:id="31"/>
      <w:bookmarkEnd w:id="32"/>
      <w:bookmarkEnd w:id="33"/>
      <w:bookmarkEnd w:id="34"/>
      <w:bookmarkEnd w:id="35"/>
    </w:p>
    <w:p w14:paraId="141FBCD6">
      <w:pPr>
        <w:pStyle w:val="60"/>
        <w:ind w:firstLine="420"/>
        <w:rPr>
          <w:rFonts w:ascii="Times New Roman"/>
        </w:rPr>
      </w:pPr>
      <w:bookmarkStart w:id="36" w:name="_Toc26648466"/>
      <w:bookmarkStart w:id="37" w:name="_Toc24884212"/>
      <w:bookmarkStart w:id="38" w:name="_Toc17233334"/>
      <w:bookmarkStart w:id="39" w:name="_Toc17233326"/>
      <w:bookmarkStart w:id="40" w:name="_Toc24884219"/>
      <w:r>
        <w:rPr>
          <w:rFonts w:ascii="Times New Roman"/>
        </w:rPr>
        <w:t>本文件规定了基于星载激光雷达、机载激光雷达及多源光学遥感数据的林草生态系统碳汇与碳源排放核算流程，包括多源数据融合与预处理、碳汇/碳储量估算模型建立、模型参数校正与优化、以及核算结果验证与不确定性分析等技术要求。</w:t>
      </w:r>
    </w:p>
    <w:p w14:paraId="209C08FA">
      <w:pPr>
        <w:pStyle w:val="60"/>
        <w:ind w:firstLine="420"/>
        <w:rPr>
          <w:rFonts w:ascii="Times New Roman"/>
        </w:rPr>
      </w:pPr>
      <w:r>
        <w:rPr>
          <w:rFonts w:ascii="Times New Roman"/>
        </w:rPr>
        <w:t>本文件适用于黑龙江省行政区域内森林、草原等生态系统，利用上述遥感技术开展碳汇能力与碳排放量的精量化核算工作，为区域碳汇监测、管理及生态价值评估提供标准化的作业流程与技术规范。</w:t>
      </w:r>
    </w:p>
    <w:p w14:paraId="1D11313E">
      <w:pPr>
        <w:pStyle w:val="108"/>
        <w:spacing w:before="240" w:after="240"/>
        <w:rPr>
          <w:rFonts w:ascii="Times New Roman"/>
        </w:rPr>
      </w:pPr>
      <w:bookmarkStart w:id="41" w:name="_Toc23723"/>
      <w:bookmarkStart w:id="42" w:name="_Toc26718931"/>
      <w:bookmarkStart w:id="43" w:name="_Toc97192965"/>
      <w:bookmarkStart w:id="44" w:name="_Toc26986531"/>
      <w:bookmarkStart w:id="45" w:name="_Toc26986772"/>
      <w:r>
        <w:rPr>
          <w:rFonts w:ascii="Times New Roman"/>
        </w:rPr>
        <w:t>规范性引用文件</w:t>
      </w:r>
      <w:bookmarkEnd w:id="36"/>
      <w:bookmarkEnd w:id="37"/>
      <w:bookmarkEnd w:id="38"/>
      <w:bookmarkEnd w:id="39"/>
      <w:bookmarkEnd w:id="40"/>
      <w:bookmarkEnd w:id="41"/>
      <w:bookmarkEnd w:id="42"/>
      <w:bookmarkEnd w:id="43"/>
      <w:bookmarkEnd w:id="44"/>
      <w:bookmarkEnd w:id="45"/>
    </w:p>
    <w:sdt>
      <w:sdtPr>
        <w:rPr>
          <w:rFonts w:ascii="Times New Roman"/>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379AE9DF">
          <w:pPr>
            <w:pStyle w:val="60"/>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0ADB64">
      <w:pPr>
        <w:pStyle w:val="14"/>
        <w:spacing w:after="0" w:line="240" w:lineRule="auto"/>
        <w:ind w:firstLine="420"/>
        <w:rPr>
          <w:rFonts w:ascii="Times New Roman" w:hAnsi="Times New Roman"/>
          <w:kern w:val="0"/>
          <w:szCs w:val="20"/>
        </w:rPr>
      </w:pPr>
      <w:r>
        <w:rPr>
          <w:rFonts w:ascii="Times New Roman" w:hAnsi="Times New Roman"/>
          <w:kern w:val="0"/>
          <w:szCs w:val="20"/>
        </w:rPr>
        <w:t>GB/T 36100-2018 机载激光雷达点云数据质量评价指标及计算方法</w:t>
      </w:r>
    </w:p>
    <w:p w14:paraId="348F5AD4">
      <w:pPr>
        <w:pStyle w:val="14"/>
        <w:spacing w:after="0" w:line="240" w:lineRule="auto"/>
        <w:ind w:firstLine="420"/>
        <w:rPr>
          <w:rFonts w:ascii="Times New Roman" w:hAnsi="Times New Roman"/>
          <w:kern w:val="0"/>
          <w:szCs w:val="20"/>
        </w:rPr>
      </w:pPr>
      <w:r>
        <w:rPr>
          <w:rFonts w:ascii="Times New Roman" w:hAnsi="Times New Roman"/>
          <w:kern w:val="0"/>
          <w:szCs w:val="20"/>
        </w:rPr>
        <w:t>LY/T 3253-2021 林业碳汇计量监测术语</w:t>
      </w:r>
    </w:p>
    <w:p w14:paraId="7A9C4623">
      <w:pPr>
        <w:pStyle w:val="108"/>
        <w:spacing w:before="240" w:after="240"/>
        <w:rPr>
          <w:rFonts w:ascii="Times New Roman"/>
        </w:rPr>
      </w:pPr>
      <w:bookmarkStart w:id="46" w:name="_Toc97192966"/>
      <w:bookmarkStart w:id="47" w:name="_Toc339"/>
      <w:r>
        <w:rPr>
          <w:rFonts w:ascii="Times New Roman"/>
        </w:rPr>
        <w:t>术语和定义</w:t>
      </w:r>
      <w:bookmarkEnd w:id="46"/>
      <w:bookmarkEnd w:id="47"/>
    </w:p>
    <w:sdt>
      <w:sdtPr>
        <w:rPr>
          <w:rFonts w:ascii="Times New Roman"/>
        </w:r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583BA5B9">
          <w:pPr>
            <w:pStyle w:val="60"/>
            <w:ind w:firstLine="420"/>
            <w:rPr>
              <w:rFonts w:ascii="Times New Roman"/>
            </w:rPr>
          </w:pPr>
          <w:bookmarkStart w:id="48" w:name="_Toc26986532"/>
          <w:bookmarkEnd w:id="48"/>
          <w:r>
            <w:rPr>
              <w:rFonts w:ascii="Times New Roman"/>
            </w:rPr>
            <w:t>下列术语和定义适用于本文件</w:t>
          </w:r>
          <w:r>
            <w:rPr>
              <w:rFonts w:hint="eastAsia" w:ascii="Times New Roman"/>
              <w:vertAlign w:val="superscript"/>
            </w:rPr>
            <w:t>[1-</w:t>
          </w:r>
          <w:r>
            <w:rPr>
              <w:rFonts w:hint="eastAsia" w:ascii="Times New Roman"/>
              <w:vertAlign w:val="superscript"/>
              <w:lang w:val="en-US" w:eastAsia="zh-CN"/>
            </w:rPr>
            <w:t>5</w:t>
          </w:r>
          <w:r>
            <w:rPr>
              <w:rFonts w:hint="eastAsia" w:ascii="Times New Roman"/>
              <w:vertAlign w:val="superscript"/>
            </w:rPr>
            <w:t>]</w:t>
          </w:r>
          <w:r>
            <w:rPr>
              <w:rFonts w:ascii="Times New Roman"/>
            </w:rPr>
            <w:t>。</w:t>
          </w:r>
        </w:p>
      </w:sdtContent>
    </w:sdt>
    <w:p w14:paraId="0351918A">
      <w:pPr>
        <w:pStyle w:val="234"/>
        <w:spacing w:before="120" w:after="120"/>
      </w:pPr>
      <w:r>
        <w:t>3.1 碳汇</w:t>
      </w:r>
      <w:bookmarkStart w:id="49" w:name="_Hlk224681660"/>
      <w:r>
        <w:t xml:space="preserve"> carbon sink</w:t>
      </w:r>
      <w:bookmarkEnd w:id="49"/>
    </w:p>
    <w:p w14:paraId="6B48FAC0">
      <w:pPr>
        <w:pStyle w:val="14"/>
        <w:spacing w:after="0" w:line="240" w:lineRule="auto"/>
        <w:ind w:firstLine="420"/>
        <w:rPr>
          <w:rFonts w:ascii="Times New Roman" w:hAnsi="Times New Roman"/>
        </w:rPr>
      </w:pPr>
      <w:bookmarkStart w:id="50" w:name="_Hlk224681670"/>
      <w:r>
        <w:rPr>
          <w:rFonts w:ascii="Times New Roman" w:hAnsi="Times New Roman"/>
        </w:rPr>
        <w:t>通过植树造林、植被恢复等措施，吸收大气中的二氧化碳（CO</w:t>
      </w:r>
      <w:r>
        <w:rPr>
          <w:rFonts w:ascii="Times New Roman" w:hAnsi="Times New Roman"/>
          <w:vertAlign w:val="subscript"/>
        </w:rPr>
        <w:t>2</w:t>
      </w:r>
      <w:r>
        <w:rPr>
          <w:rFonts w:ascii="Times New Roman" w:hAnsi="Times New Roman"/>
        </w:rPr>
        <w:t>），从而减少温室气体在大气中浓度的过程、活动或机制。</w:t>
      </w:r>
    </w:p>
    <w:bookmarkEnd w:id="50"/>
    <w:p w14:paraId="69C88A9D">
      <w:pPr>
        <w:pStyle w:val="234"/>
        <w:spacing w:before="120" w:after="120"/>
      </w:pPr>
      <w:r>
        <w:t>3.2 碳源 carbon source</w:t>
      </w:r>
    </w:p>
    <w:p w14:paraId="4D7AAB56">
      <w:pPr>
        <w:pStyle w:val="14"/>
        <w:spacing w:after="0" w:line="240" w:lineRule="auto"/>
        <w:ind w:firstLine="420"/>
        <w:rPr>
          <w:rFonts w:ascii="Times New Roman" w:hAnsi="Times New Roman"/>
        </w:rPr>
      </w:pPr>
      <w:r>
        <w:rPr>
          <w:rFonts w:ascii="Times New Roman" w:hAnsi="Times New Roman"/>
        </w:rPr>
        <w:t>碳源是指向大气排放二氧化碳等温室气体的过程或系统，如化石燃料燃烧、土地利用变化等。</w:t>
      </w:r>
    </w:p>
    <w:p w14:paraId="760BD735">
      <w:pPr>
        <w:pStyle w:val="234"/>
        <w:spacing w:before="120" w:after="120"/>
      </w:pPr>
      <w:r>
        <w:t>3.3 碳储量 carbon stock</w:t>
      </w:r>
    </w:p>
    <w:p w14:paraId="3F4C0BB5">
      <w:pPr>
        <w:pStyle w:val="14"/>
        <w:spacing w:line="240" w:lineRule="auto"/>
        <w:ind w:firstLine="420"/>
        <w:rPr>
          <w:rFonts w:ascii="Times New Roman" w:hAnsi="Times New Roman"/>
        </w:rPr>
      </w:pPr>
      <w:r>
        <w:rPr>
          <w:rFonts w:ascii="Times New Roman" w:hAnsi="Times New Roman"/>
        </w:rPr>
        <w:t>陆地生态系统中由全部植被、微生物、凋落物碳含量所构成的总含碳量。由地上碳储量、地下碳储量、土壤碳储量以及</w:t>
      </w:r>
      <w:r>
        <w:rPr>
          <w:rFonts w:hint="eastAsia" w:ascii="Times New Roman" w:hAnsi="Times New Roman"/>
          <w:lang w:val="en-US" w:eastAsia="zh-CN"/>
        </w:rPr>
        <w:t>死亡有机物</w:t>
      </w:r>
      <w:r>
        <w:rPr>
          <w:rFonts w:ascii="Times New Roman" w:hAnsi="Times New Roman"/>
        </w:rPr>
        <w:t>碳储量构成，用于衡量生态系统碳汇基底。</w:t>
      </w:r>
    </w:p>
    <w:p w14:paraId="6369F78B">
      <w:pPr>
        <w:pStyle w:val="234"/>
        <w:spacing w:before="120" w:after="120"/>
      </w:pPr>
      <w:r>
        <w:t>3.4 碳固存 carbon sequestration</w:t>
      </w:r>
    </w:p>
    <w:p w14:paraId="734A72B3">
      <w:pPr>
        <w:pStyle w:val="14"/>
        <w:spacing w:line="240" w:lineRule="auto"/>
        <w:ind w:firstLine="420"/>
        <w:rPr>
          <w:rFonts w:ascii="Times New Roman" w:hAnsi="Times New Roman"/>
        </w:rPr>
      </w:pPr>
      <w:r>
        <w:rPr>
          <w:rFonts w:ascii="Times New Roman" w:hAnsi="Times New Roman"/>
        </w:rPr>
        <w:t>碳固存是通过物理或生物手段将二氧化碳（CO</w:t>
      </w:r>
      <w:r>
        <w:rPr>
          <w:rFonts w:ascii="Times New Roman" w:hAnsi="Times New Roman"/>
          <w:vertAlign w:val="subscript"/>
        </w:rPr>
        <w:t>2</w:t>
      </w:r>
      <w:r>
        <w:rPr>
          <w:rFonts w:ascii="Times New Roman" w:hAnsi="Times New Roman"/>
        </w:rPr>
        <w:t>）封存于非大气碳库中的过程，以减少温室气体排放并缓解气候变化。</w:t>
      </w:r>
    </w:p>
    <w:p w14:paraId="0A1F29C0">
      <w:pPr>
        <w:pStyle w:val="234"/>
        <w:spacing w:before="120" w:after="120"/>
      </w:pPr>
      <w:r>
        <w:t>3.5 碳排放 carbon emission</w:t>
      </w:r>
    </w:p>
    <w:p w14:paraId="689173CE">
      <w:pPr>
        <w:pStyle w:val="14"/>
        <w:spacing w:line="240" w:lineRule="auto"/>
        <w:ind w:firstLine="420"/>
        <w:rPr>
          <w:rFonts w:ascii="Times New Roman" w:hAnsi="Times New Roman"/>
        </w:rPr>
      </w:pPr>
      <w:r>
        <w:rPr>
          <w:rFonts w:ascii="Times New Roman" w:hAnsi="Times New Roman"/>
        </w:rPr>
        <w:t>碳排放是指人类活动或自然过程释放二氧化碳（CO</w:t>
      </w:r>
      <w:r>
        <w:rPr>
          <w:rFonts w:ascii="Times New Roman" w:hAnsi="Times New Roman"/>
          <w:vertAlign w:val="subscript"/>
        </w:rPr>
        <w:t>2</w:t>
      </w:r>
      <w:r>
        <w:rPr>
          <w:rFonts w:ascii="Times New Roman" w:hAnsi="Times New Roman"/>
        </w:rPr>
        <w:t>）及其他温室气体到大气中的过程，主要来源于燃烧化石燃料和工业生产。</w:t>
      </w:r>
    </w:p>
    <w:p w14:paraId="2F14837F">
      <w:pPr>
        <w:pStyle w:val="14"/>
        <w:spacing w:line="240" w:lineRule="auto"/>
        <w:rPr>
          <w:rFonts w:ascii="Times New Roman" w:hAnsi="Times New Roman"/>
        </w:rPr>
      </w:pPr>
      <w:r>
        <w:rPr>
          <w:rFonts w:ascii="Times New Roman" w:hAnsi="Times New Roman"/>
        </w:rPr>
        <w:t xml:space="preserve">3.6 </w:t>
      </w:r>
      <w:r>
        <w:rPr>
          <w:rFonts w:ascii="Times New Roman" w:hAnsi="Times New Roman" w:eastAsia="黑体"/>
        </w:rPr>
        <w:t>地上碳储量</w:t>
      </w:r>
      <w:r>
        <w:rPr>
          <w:rFonts w:ascii="Times New Roman" w:hAnsi="Times New Roman"/>
        </w:rPr>
        <w:t xml:space="preserve"> above-ground carbon</w:t>
      </w:r>
      <w:r>
        <w:rPr>
          <w:rFonts w:hint="eastAsia" w:ascii="Times New Roman" w:hAnsi="Times New Roman"/>
        </w:rPr>
        <w:t xml:space="preserve"> (AGC)</w:t>
      </w:r>
    </w:p>
    <w:p w14:paraId="41057AED">
      <w:pPr>
        <w:pStyle w:val="14"/>
        <w:spacing w:line="240" w:lineRule="auto"/>
        <w:ind w:firstLine="420"/>
        <w:rPr>
          <w:rFonts w:ascii="Times New Roman" w:hAnsi="Times New Roman"/>
        </w:rPr>
      </w:pPr>
      <w:r>
        <w:rPr>
          <w:rFonts w:ascii="Times New Roman" w:hAnsi="Times New Roman"/>
        </w:rPr>
        <w:t>植被地上部分（树干、枝叶等）通过光合作用所固定并存储的碳量，是评估生态系统碳汇的重要指标。</w:t>
      </w:r>
    </w:p>
    <w:p w14:paraId="0A499D22">
      <w:pPr>
        <w:pStyle w:val="234"/>
        <w:spacing w:before="120" w:after="120"/>
      </w:pPr>
      <w:bookmarkStart w:id="51" w:name="_Toc120647970"/>
      <w:bookmarkStart w:id="52" w:name="_Toc120691919"/>
      <w:bookmarkStart w:id="53" w:name="_Toc120691858"/>
      <w:bookmarkStart w:id="54" w:name="_Toc120662652"/>
      <w:bookmarkStart w:id="55" w:name="_Toc120649410"/>
      <w:r>
        <w:t xml:space="preserve">3.7 地下碳储量 </w:t>
      </w:r>
      <w:bookmarkEnd w:id="51"/>
      <w:bookmarkEnd w:id="52"/>
      <w:bookmarkEnd w:id="53"/>
      <w:bookmarkEnd w:id="54"/>
      <w:bookmarkEnd w:id="55"/>
      <w:r>
        <w:t>below-ground carbon</w:t>
      </w:r>
      <w:r>
        <w:rPr>
          <w:rFonts w:hint="eastAsia"/>
        </w:rPr>
        <w:t xml:space="preserve"> (BGC)</w:t>
      </w:r>
    </w:p>
    <w:p w14:paraId="451DDC52">
      <w:pPr>
        <w:pStyle w:val="14"/>
        <w:spacing w:line="240" w:lineRule="auto"/>
        <w:ind w:firstLine="420"/>
        <w:rPr>
          <w:rFonts w:ascii="Times New Roman" w:hAnsi="Times New Roman"/>
        </w:rPr>
      </w:pPr>
      <w:r>
        <w:rPr>
          <w:rFonts w:ascii="Times New Roman" w:hAnsi="Times New Roman"/>
        </w:rPr>
        <w:t>植被地下部分（主要为根系）以有机质形式长期储存的碳量。</w:t>
      </w:r>
    </w:p>
    <w:p w14:paraId="259A0DC2">
      <w:pPr>
        <w:pStyle w:val="234"/>
        <w:spacing w:before="120" w:after="120"/>
      </w:pPr>
      <w:bookmarkStart w:id="56" w:name="_Toc120647971"/>
      <w:bookmarkStart w:id="57" w:name="_Toc120649411"/>
      <w:bookmarkStart w:id="58" w:name="_Toc120691920"/>
      <w:bookmarkStart w:id="59" w:name="_Toc120691859"/>
      <w:bookmarkStart w:id="60" w:name="_Toc120662653"/>
      <w:r>
        <w:t xml:space="preserve">3.8 土壤碳储量 </w:t>
      </w:r>
      <w:bookmarkEnd w:id="56"/>
      <w:bookmarkEnd w:id="57"/>
      <w:bookmarkEnd w:id="58"/>
      <w:bookmarkEnd w:id="59"/>
      <w:bookmarkEnd w:id="60"/>
      <w:r>
        <w:t>soil</w:t>
      </w:r>
      <w:r>
        <w:rPr>
          <w:rFonts w:hint="eastAsia"/>
        </w:rPr>
        <w:t xml:space="preserve"> organic</w:t>
      </w:r>
      <w:r>
        <w:t xml:space="preserve"> carbon</w:t>
      </w:r>
      <w:r>
        <w:rPr>
          <w:rFonts w:hint="eastAsia"/>
        </w:rPr>
        <w:t xml:space="preserve"> (SOC)</w:t>
      </w:r>
    </w:p>
    <w:p w14:paraId="220E8865">
      <w:pPr>
        <w:pStyle w:val="14"/>
        <w:spacing w:line="240" w:lineRule="auto"/>
        <w:ind w:firstLine="420"/>
        <w:rPr>
          <w:rFonts w:ascii="Times New Roman" w:hAnsi="Times New Roman"/>
        </w:rPr>
      </w:pPr>
      <w:r>
        <w:rPr>
          <w:rFonts w:ascii="Times New Roman" w:hAnsi="Times New Roman"/>
        </w:rPr>
        <w:t>土壤中所有活的微生物（主要包括细菌、真菌、放线菌、藻类和原生动物等）的含碳总量。</w:t>
      </w:r>
    </w:p>
    <w:p w14:paraId="22935805">
      <w:pPr>
        <w:pStyle w:val="234"/>
        <w:spacing w:before="120" w:after="120"/>
      </w:pPr>
      <w:r>
        <w:t xml:space="preserve">3.9 </w:t>
      </w:r>
      <w:r>
        <w:rPr>
          <w:rFonts w:hint="eastAsia"/>
          <w:lang w:val="en-US" w:eastAsia="zh-CN"/>
        </w:rPr>
        <w:t>死亡有机物碳</w:t>
      </w:r>
      <w:r>
        <w:t xml:space="preserve">储量 </w:t>
      </w:r>
      <w:r>
        <w:rPr>
          <w:rFonts w:hint="eastAsia"/>
          <w:lang w:val="en-US" w:eastAsia="zh-CN"/>
        </w:rPr>
        <w:t xml:space="preserve">dead </w:t>
      </w:r>
      <w:r>
        <w:rPr>
          <w:rFonts w:hint="eastAsia"/>
        </w:rPr>
        <w:t>organic</w:t>
      </w:r>
      <w:r>
        <w:t xml:space="preserve"> carbon</w:t>
      </w:r>
      <w:r>
        <w:rPr>
          <w:rFonts w:hint="eastAsia"/>
        </w:rPr>
        <w:t xml:space="preserve"> (</w:t>
      </w:r>
      <w:r>
        <w:rPr>
          <w:rFonts w:hint="eastAsia"/>
          <w:lang w:val="en-US" w:eastAsia="zh-CN"/>
        </w:rPr>
        <w:t>DOC</w:t>
      </w:r>
      <w:r>
        <w:rPr>
          <w:rFonts w:hint="eastAsia"/>
        </w:rPr>
        <w:t>)</w:t>
      </w:r>
    </w:p>
    <w:p w14:paraId="09A47CAE">
      <w:pPr>
        <w:pStyle w:val="14"/>
        <w:spacing w:line="240" w:lineRule="auto"/>
        <w:ind w:firstLine="420"/>
        <w:rPr>
          <w:rFonts w:ascii="Times New Roman" w:hAnsi="Times New Roman"/>
        </w:rPr>
      </w:pPr>
      <w:r>
        <w:rPr>
          <w:rFonts w:ascii="Times New Roman" w:hAnsi="Times New Roman"/>
        </w:rPr>
        <w:t>指</w:t>
      </w:r>
      <w:r>
        <w:rPr>
          <w:rFonts w:hint="eastAsia" w:ascii="Times New Roman" w:hAnsi="Times New Roman"/>
          <w:lang w:val="en-US" w:eastAsia="zh-CN"/>
        </w:rPr>
        <w:t>包含</w:t>
      </w:r>
      <w:r>
        <w:rPr>
          <w:rFonts w:ascii="Times New Roman" w:hAnsi="Times New Roman"/>
        </w:rPr>
        <w:t>落叶、枯枝、枯根等地表有机碎屑或死亡植被体</w:t>
      </w:r>
      <w:r>
        <w:rPr>
          <w:rFonts w:hint="eastAsia" w:ascii="Times New Roman" w:hAnsi="Times New Roman"/>
          <w:lang w:val="en-US" w:eastAsia="zh-CN"/>
        </w:rPr>
        <w:t>在内的</w:t>
      </w:r>
      <w:r>
        <w:rPr>
          <w:rFonts w:ascii="Times New Roman" w:hAnsi="Times New Roman"/>
        </w:rPr>
        <w:t>所有非活体有机物中的碳储量</w:t>
      </w:r>
      <w:r>
        <w:rPr>
          <w:rFonts w:hint="eastAsia" w:ascii="Times New Roman" w:hAnsi="Times New Roman"/>
          <w:lang w:eastAsia="zh-CN"/>
        </w:rPr>
        <w:t>，</w:t>
      </w:r>
      <w:r>
        <w:rPr>
          <w:rFonts w:ascii="Times New Roman" w:hAnsi="Times New Roman"/>
        </w:rPr>
        <w:t>是生态系统碳循环的重要组成部分。</w:t>
      </w:r>
    </w:p>
    <w:p w14:paraId="064FCFEB">
      <w:pPr>
        <w:pStyle w:val="234"/>
        <w:spacing w:before="120" w:after="120"/>
      </w:pPr>
      <w:bookmarkStart w:id="61" w:name="_Toc120647969"/>
      <w:bookmarkStart w:id="62" w:name="_Toc120691857"/>
      <w:bookmarkStart w:id="63" w:name="_Toc120649409"/>
      <w:bookmarkStart w:id="64" w:name="_Toc120662651"/>
      <w:bookmarkStart w:id="65" w:name="_Toc120691918"/>
      <w:bookmarkStart w:id="66" w:name="_Toc120691860"/>
      <w:bookmarkStart w:id="67" w:name="_Toc120649412"/>
      <w:bookmarkStart w:id="68" w:name="_Toc120691921"/>
      <w:bookmarkStart w:id="69" w:name="_Toc120662654"/>
      <w:bookmarkStart w:id="70" w:name="_Toc120647972"/>
      <w:r>
        <w:t>3.10 地上生物量 above-ground biomass</w:t>
      </w:r>
      <w:bookmarkEnd w:id="61"/>
      <w:bookmarkEnd w:id="62"/>
      <w:bookmarkEnd w:id="63"/>
      <w:bookmarkEnd w:id="64"/>
      <w:bookmarkEnd w:id="65"/>
      <w:r>
        <w:rPr>
          <w:rFonts w:hint="eastAsia"/>
        </w:rPr>
        <w:t xml:space="preserve"> (AGB)</w:t>
      </w:r>
    </w:p>
    <w:p w14:paraId="3EE82065">
      <w:pPr>
        <w:pStyle w:val="14"/>
        <w:spacing w:line="240" w:lineRule="auto"/>
        <w:ind w:firstLine="420"/>
        <w:rPr>
          <w:rFonts w:ascii="Times New Roman" w:hAnsi="Times New Roman"/>
        </w:rPr>
      </w:pPr>
      <w:r>
        <w:rPr>
          <w:rFonts w:ascii="Times New Roman" w:hAnsi="Times New Roman"/>
        </w:rPr>
        <w:t>土壤层以上以干重表示的植被所有活体的生物量，包括干、桩、枝、皮、种子、花、果和叶及草本植物。</w:t>
      </w:r>
      <w:bookmarkEnd w:id="66"/>
      <w:bookmarkEnd w:id="67"/>
      <w:bookmarkEnd w:id="68"/>
      <w:bookmarkEnd w:id="69"/>
      <w:bookmarkEnd w:id="70"/>
    </w:p>
    <w:p w14:paraId="6A2F9B1B">
      <w:pPr>
        <w:pStyle w:val="234"/>
        <w:spacing w:before="120" w:after="120"/>
      </w:pPr>
      <w:bookmarkStart w:id="71" w:name="_Toc120691856"/>
      <w:bookmarkStart w:id="72" w:name="_Toc120662650"/>
      <w:bookmarkStart w:id="73" w:name="_Toc120647968"/>
      <w:bookmarkStart w:id="74" w:name="_Toc120691917"/>
      <w:bookmarkStart w:id="75" w:name="_Toc120649408"/>
      <w:r>
        <w:t xml:space="preserve">3.11 星载激光雷达 </w:t>
      </w:r>
      <w:bookmarkEnd w:id="71"/>
      <w:bookmarkEnd w:id="72"/>
      <w:bookmarkEnd w:id="73"/>
      <w:bookmarkEnd w:id="74"/>
      <w:bookmarkEnd w:id="75"/>
      <w:r>
        <w:t>spaceborne LiDAR</w:t>
      </w:r>
    </w:p>
    <w:p w14:paraId="3F5E4189">
      <w:pPr>
        <w:pStyle w:val="14"/>
        <w:spacing w:line="240" w:lineRule="auto"/>
        <w:ind w:firstLine="420"/>
        <w:rPr>
          <w:rFonts w:ascii="Times New Roman" w:hAnsi="Times New Roman"/>
        </w:rPr>
      </w:pPr>
      <w:r>
        <w:rPr>
          <w:rFonts w:ascii="Times New Roman" w:hAnsi="Times New Roman"/>
        </w:rPr>
        <w:t>以卫星为搭载平台，发射激光束并接收回波以获取目标三维信息的系统。</w:t>
      </w:r>
    </w:p>
    <w:p w14:paraId="1E04FFBC">
      <w:pPr>
        <w:pStyle w:val="234"/>
        <w:spacing w:before="120" w:after="120"/>
      </w:pPr>
      <w:r>
        <w:t>3.12 机载激光雷达 airborne LiDAR</w:t>
      </w:r>
    </w:p>
    <w:p w14:paraId="40D39667">
      <w:pPr>
        <w:pStyle w:val="14"/>
        <w:spacing w:after="0" w:line="240" w:lineRule="auto"/>
        <w:ind w:firstLine="420"/>
        <w:rPr>
          <w:rFonts w:ascii="Times New Roman" w:hAnsi="Times New Roman"/>
        </w:rPr>
      </w:pPr>
      <w:r>
        <w:rPr>
          <w:rFonts w:ascii="Times New Roman" w:hAnsi="Times New Roman"/>
        </w:rPr>
        <w:t>以有人机/无人机为搭载平台，发射激光束并接收回波以获取目标三维信息的系统。</w:t>
      </w:r>
    </w:p>
    <w:p w14:paraId="103DD5B9">
      <w:pPr>
        <w:pStyle w:val="234"/>
        <w:spacing w:before="120" w:after="120"/>
      </w:pPr>
      <w:bookmarkStart w:id="76" w:name="_Toc120662658"/>
      <w:bookmarkStart w:id="77" w:name="_Toc120691866"/>
      <w:bookmarkStart w:id="78" w:name="_Toc120691927"/>
      <w:bookmarkStart w:id="79" w:name="_Toc120647976"/>
      <w:bookmarkStart w:id="80" w:name="_Toc120649416"/>
      <w:r>
        <w:t>3.13 样地 sample plot</w:t>
      </w:r>
      <w:bookmarkEnd w:id="76"/>
      <w:bookmarkEnd w:id="77"/>
      <w:bookmarkEnd w:id="78"/>
      <w:bookmarkEnd w:id="79"/>
      <w:bookmarkEnd w:id="80"/>
    </w:p>
    <w:p w14:paraId="2F3CC7B1">
      <w:pPr>
        <w:pStyle w:val="14"/>
        <w:spacing w:line="240" w:lineRule="auto"/>
        <w:ind w:firstLine="420"/>
        <w:rPr>
          <w:rFonts w:ascii="Times New Roman" w:hAnsi="Times New Roman"/>
        </w:rPr>
      </w:pPr>
      <w:r>
        <w:rPr>
          <w:rFonts w:ascii="Times New Roman" w:hAnsi="Times New Roman"/>
        </w:rPr>
        <w:t>以随机或系统抽样方法抽取的用以推算森林资源的数量和质量而限定的地块单元。一般地，按保存时间分为固定样地和临时样地，按照形状分为方形样地和圆形样地。</w:t>
      </w:r>
    </w:p>
    <w:p w14:paraId="49C58E98">
      <w:pPr>
        <w:pStyle w:val="234"/>
        <w:spacing w:before="120" w:after="120"/>
      </w:pPr>
      <w:bookmarkStart w:id="81" w:name="_Toc120662659"/>
      <w:bookmarkStart w:id="82" w:name="_Toc120691867"/>
      <w:bookmarkStart w:id="83" w:name="_Toc120649417"/>
      <w:bookmarkStart w:id="84" w:name="_Toc120691928"/>
      <w:bookmarkStart w:id="85" w:name="_Toc120647977"/>
      <w:r>
        <w:t>3.14 模型 model</w:t>
      </w:r>
      <w:bookmarkEnd w:id="81"/>
      <w:bookmarkEnd w:id="82"/>
      <w:bookmarkEnd w:id="83"/>
      <w:bookmarkEnd w:id="84"/>
      <w:bookmarkEnd w:id="85"/>
    </w:p>
    <w:p w14:paraId="3AFC2706">
      <w:pPr>
        <w:pStyle w:val="14"/>
        <w:spacing w:line="240" w:lineRule="auto"/>
        <w:ind w:firstLine="420"/>
        <w:rPr>
          <w:rFonts w:ascii="Times New Roman" w:hAnsi="Times New Roman"/>
        </w:rPr>
      </w:pPr>
      <w:r>
        <w:rPr>
          <w:rFonts w:ascii="Times New Roman" w:hAnsi="Times New Roman"/>
        </w:rPr>
        <w:t>统计定义：模型是对某些自然规律特征进行抽象量化，它可以简化或忽略某些特征，以更好地集中在较为重要的要素上。可以通过数学方式把相关影响因子建立一定的关系式，即称之为模型，如生物量模型等。</w:t>
      </w:r>
    </w:p>
    <w:p w14:paraId="7671E7CB">
      <w:pPr>
        <w:pStyle w:val="234"/>
        <w:spacing w:before="120" w:after="120"/>
      </w:pPr>
      <w:bookmarkStart w:id="86" w:name="_Toc120691933"/>
      <w:bookmarkStart w:id="87" w:name="_Toc120691872"/>
      <w:r>
        <w:t>3.15机器学习 machine learning</w:t>
      </w:r>
      <w:bookmarkEnd w:id="86"/>
      <w:bookmarkEnd w:id="87"/>
    </w:p>
    <w:p w14:paraId="0AD6560E">
      <w:pPr>
        <w:pStyle w:val="14"/>
        <w:spacing w:line="240" w:lineRule="auto"/>
        <w:ind w:firstLine="420"/>
        <w:rPr>
          <w:rFonts w:ascii="Times New Roman" w:hAnsi="Times New Roman"/>
        </w:rPr>
      </w:pPr>
      <w:r>
        <w:rPr>
          <w:rFonts w:ascii="Times New Roman" w:hAnsi="Times New Roman"/>
        </w:rPr>
        <w:t>机器学习研究的主要内容是关于在计算机上从数据中产生“模型”的算法。研究如何通过计算的手段，利用经验来改善系统自身的性能。其目标是使学得的模型能很好的适用于“新样本”。</w:t>
      </w:r>
    </w:p>
    <w:p w14:paraId="5BAFFB93">
      <w:pPr>
        <w:pStyle w:val="108"/>
        <w:spacing w:before="240" w:after="240"/>
        <w:rPr>
          <w:rFonts w:ascii="Times New Roman"/>
        </w:rPr>
      </w:pPr>
      <w:bookmarkStart w:id="88" w:name="_Toc185420742"/>
      <w:bookmarkEnd w:id="88"/>
      <w:bookmarkStart w:id="89" w:name="_Toc185420734"/>
      <w:bookmarkEnd w:id="89"/>
      <w:bookmarkStart w:id="90" w:name="_Toc678"/>
      <w:r>
        <w:rPr>
          <w:rFonts w:ascii="Times New Roman"/>
        </w:rPr>
        <w:t>数据处理</w:t>
      </w:r>
      <w:bookmarkEnd w:id="90"/>
    </w:p>
    <w:p w14:paraId="095321DA">
      <w:pPr>
        <w:pStyle w:val="109"/>
        <w:spacing w:before="120" w:after="120"/>
        <w:rPr>
          <w:rFonts w:ascii="Times New Roman"/>
        </w:rPr>
      </w:pPr>
      <w:bookmarkStart w:id="91" w:name="_Toc12517"/>
      <w:bookmarkStart w:id="92" w:name="_Toc9401"/>
      <w:r>
        <w:rPr>
          <w:rFonts w:ascii="Times New Roman"/>
        </w:rPr>
        <w:t>数据裁剪</w:t>
      </w:r>
      <w:bookmarkEnd w:id="91"/>
      <w:bookmarkEnd w:id="92"/>
    </w:p>
    <w:p w14:paraId="55466DCD">
      <w:pPr>
        <w:pStyle w:val="60"/>
        <w:ind w:firstLine="420"/>
        <w:rPr>
          <w:rFonts w:ascii="Times New Roman"/>
        </w:rPr>
      </w:pPr>
      <w:r>
        <w:rPr>
          <w:rFonts w:ascii="Times New Roman"/>
        </w:rPr>
        <w:t>应将星载/机载激光雷达数据、多源光学遥感等数据裁剪成对应区域大小。</w:t>
      </w:r>
    </w:p>
    <w:p w14:paraId="09EF47DD">
      <w:pPr>
        <w:pStyle w:val="109"/>
        <w:spacing w:before="120" w:after="120"/>
        <w:rPr>
          <w:rFonts w:ascii="Times New Roman"/>
        </w:rPr>
      </w:pPr>
      <w:bookmarkStart w:id="93" w:name="_Toc15700"/>
      <w:bookmarkStart w:id="94" w:name="_Toc12429"/>
      <w:r>
        <w:rPr>
          <w:rFonts w:ascii="Times New Roman"/>
        </w:rPr>
        <w:t>噪声去除</w:t>
      </w:r>
      <w:bookmarkEnd w:id="93"/>
      <w:bookmarkEnd w:id="94"/>
    </w:p>
    <w:p w14:paraId="3BA49C76">
      <w:pPr>
        <w:pStyle w:val="60"/>
        <w:ind w:firstLine="420"/>
        <w:rPr>
          <w:rFonts w:ascii="Times New Roman"/>
        </w:rPr>
      </w:pPr>
      <w:r>
        <w:rPr>
          <w:rFonts w:ascii="Times New Roman"/>
        </w:rPr>
        <w:t>指从数据或信号中去掉干扰信息或随机误差，以提取更准确、有用的信号或特征的过程。</w:t>
      </w:r>
    </w:p>
    <w:p w14:paraId="35133708">
      <w:pPr>
        <w:pStyle w:val="109"/>
        <w:spacing w:before="120" w:after="120"/>
        <w:rPr>
          <w:rFonts w:ascii="Times New Roman"/>
        </w:rPr>
      </w:pPr>
      <w:bookmarkStart w:id="95" w:name="_Toc340"/>
      <w:bookmarkStart w:id="96" w:name="_Toc19032"/>
      <w:r>
        <w:rPr>
          <w:rFonts w:ascii="Times New Roman"/>
        </w:rPr>
        <w:t>去云/去阴影</w:t>
      </w:r>
      <w:bookmarkEnd w:id="95"/>
      <w:bookmarkEnd w:id="96"/>
    </w:p>
    <w:p w14:paraId="3D32F16B">
      <w:pPr>
        <w:bidi w:val="0"/>
        <w:ind w:firstLine="420" w:firstLineChars="200"/>
      </w:pPr>
      <w:bookmarkStart w:id="97" w:name="_Toc31329"/>
      <w:r>
        <w:t>去除云层及其阴影对地表信息的遮挡，以获得清晰、可用的地表数据。</w:t>
      </w:r>
      <w:bookmarkEnd w:id="97"/>
    </w:p>
    <w:p w14:paraId="66646298">
      <w:pPr>
        <w:pStyle w:val="108"/>
        <w:spacing w:before="240" w:after="240"/>
        <w:rPr>
          <w:rFonts w:ascii="Times New Roman"/>
        </w:rPr>
      </w:pPr>
      <w:bookmarkStart w:id="98" w:name="_Toc19156"/>
      <w:r>
        <w:rPr>
          <w:rFonts w:ascii="Times New Roman"/>
        </w:rPr>
        <w:t>模型构建</w:t>
      </w:r>
      <w:bookmarkEnd w:id="98"/>
    </w:p>
    <w:p w14:paraId="3427616C">
      <w:pPr>
        <w:pStyle w:val="109"/>
        <w:spacing w:before="120" w:after="120"/>
        <w:rPr>
          <w:rFonts w:ascii="Times New Roman"/>
        </w:rPr>
      </w:pPr>
      <w:bookmarkStart w:id="99" w:name="_Toc13055"/>
      <w:bookmarkStart w:id="100" w:name="_Toc3763"/>
      <w:r>
        <w:rPr>
          <w:rFonts w:ascii="Times New Roman"/>
        </w:rPr>
        <w:t>机器学习算法</w:t>
      </w:r>
      <w:bookmarkEnd w:id="99"/>
      <w:bookmarkEnd w:id="100"/>
    </w:p>
    <w:p w14:paraId="65D13DE7">
      <w:pPr>
        <w:pStyle w:val="14"/>
        <w:spacing w:after="0" w:line="240" w:lineRule="auto"/>
        <w:ind w:firstLine="420"/>
        <w:rPr>
          <w:rFonts w:ascii="Times New Roman" w:hAnsi="Times New Roman"/>
        </w:rPr>
      </w:pPr>
      <w:r>
        <w:rPr>
          <w:rFonts w:ascii="Times New Roman" w:hAnsi="Times New Roman"/>
        </w:rPr>
        <w:t>随机森林 RF</w:t>
      </w:r>
    </w:p>
    <w:p w14:paraId="2740C6AC">
      <w:pPr>
        <w:pStyle w:val="14"/>
        <w:spacing w:after="0" w:line="240" w:lineRule="auto"/>
        <w:ind w:firstLine="420"/>
        <w:rPr>
          <w:rFonts w:ascii="Times New Roman" w:hAnsi="Times New Roman"/>
        </w:rPr>
      </w:pPr>
      <w:r>
        <w:rPr>
          <w:rFonts w:ascii="Times New Roman" w:hAnsi="Times New Roman"/>
        </w:rPr>
        <w:t>——随机森林可用于分类和回归，这是一种集成学习方法，其中每棵树都是使用数据的子样本独立生成的。</w:t>
      </w:r>
    </w:p>
    <w:p w14:paraId="7B1282B5">
      <w:pPr>
        <w:pStyle w:val="14"/>
        <w:spacing w:after="0" w:line="240" w:lineRule="auto"/>
        <w:ind w:firstLine="420"/>
        <w:rPr>
          <w:rFonts w:ascii="Times New Roman" w:hAnsi="Times New Roman"/>
        </w:rPr>
      </w:pPr>
      <w:r>
        <w:rPr>
          <w:rFonts w:ascii="Times New Roman" w:hAnsi="Times New Roman"/>
        </w:rPr>
        <w:t>支持向量机 SVM</w:t>
      </w:r>
    </w:p>
    <w:p w14:paraId="102D4BDF">
      <w:pPr>
        <w:pStyle w:val="14"/>
        <w:spacing w:after="0" w:line="240" w:lineRule="auto"/>
        <w:ind w:firstLine="420"/>
        <w:rPr>
          <w:rFonts w:ascii="Times New Roman" w:hAnsi="Times New Roman"/>
        </w:rPr>
      </w:pPr>
      <w:r>
        <w:rPr>
          <w:rFonts w:ascii="Times New Roman" w:hAnsi="Times New Roman"/>
        </w:rPr>
        <w:t>——支持向量机（SVM）在高维或无限维空间中构造超平面或超平面集合，其可以用于分类、回归或其他任务。</w:t>
      </w:r>
    </w:p>
    <w:p w14:paraId="34C47611">
      <w:pPr>
        <w:pStyle w:val="14"/>
        <w:spacing w:after="0" w:line="240" w:lineRule="auto"/>
        <w:ind w:firstLine="420"/>
        <w:rPr>
          <w:rFonts w:ascii="Times New Roman" w:hAnsi="Times New Roman"/>
        </w:rPr>
      </w:pPr>
      <w:r>
        <w:rPr>
          <w:rFonts w:ascii="Times New Roman" w:hAnsi="Times New Roman"/>
        </w:rPr>
        <w:t>K最近邻 KNN</w:t>
      </w:r>
    </w:p>
    <w:p w14:paraId="6FF22BA9">
      <w:pPr>
        <w:pStyle w:val="14"/>
        <w:spacing w:after="0" w:line="240" w:lineRule="auto"/>
        <w:ind w:firstLine="420"/>
        <w:rPr>
          <w:rFonts w:ascii="Times New Roman" w:hAnsi="Times New Roman"/>
        </w:rPr>
      </w:pPr>
      <w:r>
        <w:rPr>
          <w:rFonts w:ascii="Times New Roman" w:hAnsi="Times New Roman"/>
        </w:rPr>
        <w:t>——KNN算法是一种基于实例的学习，或者是局部近似和将所有计算推迟到分类之后的惰性学习。</w:t>
      </w:r>
    </w:p>
    <w:p w14:paraId="3881E928">
      <w:pPr>
        <w:pStyle w:val="109"/>
        <w:spacing w:before="120" w:after="120"/>
        <w:rPr>
          <w:rFonts w:ascii="Times New Roman"/>
        </w:rPr>
      </w:pPr>
      <w:bookmarkStart w:id="101" w:name="_Toc32098"/>
      <w:bookmarkStart w:id="102" w:name="_Toc9807"/>
      <w:r>
        <w:rPr>
          <w:rFonts w:ascii="Times New Roman"/>
        </w:rPr>
        <w:t>生态学过程模型</w:t>
      </w:r>
      <w:bookmarkEnd w:id="101"/>
      <w:bookmarkEnd w:id="102"/>
    </w:p>
    <w:p w14:paraId="6ADA799F">
      <w:pPr>
        <w:pStyle w:val="14"/>
        <w:spacing w:after="0" w:line="240" w:lineRule="auto"/>
        <w:ind w:firstLine="420"/>
        <w:rPr>
          <w:rFonts w:ascii="Times New Roman" w:hAnsi="Times New Roman"/>
        </w:rPr>
      </w:pPr>
      <w:r>
        <w:rPr>
          <w:rFonts w:ascii="Times New Roman" w:hAnsi="Times New Roman"/>
        </w:rPr>
        <w:t>IUEMS模型</w:t>
      </w:r>
    </w:p>
    <w:p w14:paraId="5A78BDA6">
      <w:pPr>
        <w:pStyle w:val="14"/>
        <w:spacing w:after="0" w:line="240" w:lineRule="auto"/>
        <w:ind w:firstLine="420"/>
        <w:rPr>
          <w:rFonts w:ascii="Times New Roman" w:hAnsi="Times New Roman"/>
        </w:rPr>
      </w:pPr>
      <w:r>
        <w:rPr>
          <w:rFonts w:ascii="Times New Roman" w:hAnsi="Times New Roman"/>
        </w:rPr>
        <w:t>——是基于多源数据融合与智能算法，重点实现高精度碳储量测算、动态碳汇评估及减排策略优化的综合性模型框架。</w:t>
      </w:r>
    </w:p>
    <w:p w14:paraId="651070EE">
      <w:pPr>
        <w:pStyle w:val="14"/>
        <w:spacing w:after="0" w:line="240" w:lineRule="auto"/>
        <w:ind w:firstLine="420"/>
        <w:rPr>
          <w:rFonts w:ascii="Times New Roman" w:hAnsi="Times New Roman"/>
        </w:rPr>
      </w:pPr>
      <w:r>
        <w:rPr>
          <w:rFonts w:ascii="Times New Roman" w:hAnsi="Times New Roman"/>
        </w:rPr>
        <w:t>InVEST模型</w:t>
      </w:r>
    </w:p>
    <w:p w14:paraId="42C93C51">
      <w:pPr>
        <w:pStyle w:val="14"/>
        <w:spacing w:after="0" w:line="240" w:lineRule="auto"/>
        <w:ind w:firstLine="420"/>
        <w:rPr>
          <w:rFonts w:ascii="Times New Roman" w:hAnsi="Times New Roman"/>
        </w:rPr>
      </w:pPr>
      <w:r>
        <w:rPr>
          <w:rFonts w:ascii="Times New Roman" w:hAnsi="Times New Roman"/>
        </w:rPr>
        <w:t>——是一款开源生态系统服务评估工具，其碳储量模块通过量化植被、土壤等碳库的空间分布，直接支持碳中和决策与森林碳汇管理等应用。</w:t>
      </w:r>
    </w:p>
    <w:p w14:paraId="3D1BD1CF">
      <w:pPr>
        <w:pStyle w:val="108"/>
        <w:spacing w:before="240" w:after="240"/>
        <w:rPr>
          <w:rFonts w:ascii="Times New Roman"/>
        </w:rPr>
      </w:pPr>
      <w:bookmarkStart w:id="103" w:name="_Toc23622"/>
      <w:r>
        <w:rPr>
          <w:rFonts w:ascii="Times New Roman"/>
        </w:rPr>
        <w:t>数据来源</w:t>
      </w:r>
      <w:bookmarkEnd w:id="103"/>
    </w:p>
    <w:p w14:paraId="6F4CB8A1">
      <w:pPr>
        <w:pStyle w:val="109"/>
        <w:spacing w:before="120" w:after="120"/>
        <w:rPr>
          <w:rFonts w:ascii="Times New Roman"/>
        </w:rPr>
      </w:pPr>
      <w:bookmarkStart w:id="104" w:name="_Toc27319"/>
      <w:bookmarkStart w:id="105" w:name="_Toc4270"/>
      <w:r>
        <w:rPr>
          <w:rFonts w:hint="eastAsia" w:ascii="Times New Roman"/>
        </w:rPr>
        <w:t>外业实测数据</w:t>
      </w:r>
      <w:bookmarkEnd w:id="104"/>
      <w:bookmarkEnd w:id="105"/>
    </w:p>
    <w:p w14:paraId="6D53EECC">
      <w:pPr>
        <w:pStyle w:val="14"/>
        <w:spacing w:after="0" w:line="240" w:lineRule="auto"/>
        <w:ind w:firstLine="420"/>
        <w:rPr>
          <w:rFonts w:ascii="Times New Roman" w:hAnsi="Times New Roman"/>
        </w:rPr>
      </w:pPr>
      <w:r>
        <w:rPr>
          <w:rFonts w:hint="eastAsia" w:ascii="Times New Roman" w:hAnsi="Times New Roman"/>
        </w:rPr>
        <w:t>实测数据来源于黑龙江省帽儿山、大兴安岭等地区采集的</w:t>
      </w:r>
      <w:r>
        <w:rPr>
          <w:rFonts w:hint="eastAsia" w:ascii="Times New Roman" w:hAnsi="Times New Roman"/>
          <w:lang w:eastAsia="zh-CN"/>
        </w:rPr>
        <w:t>样地</w:t>
      </w:r>
      <w:r>
        <w:rPr>
          <w:rFonts w:hint="eastAsia" w:ascii="Times New Roman" w:hAnsi="Times New Roman"/>
        </w:rPr>
        <w:t>每木检尺数据。</w:t>
      </w:r>
    </w:p>
    <w:p w14:paraId="47FD011E">
      <w:pPr>
        <w:pStyle w:val="109"/>
        <w:spacing w:before="120" w:after="120"/>
        <w:rPr>
          <w:rFonts w:ascii="Times New Roman"/>
        </w:rPr>
      </w:pPr>
      <w:bookmarkStart w:id="106" w:name="_Toc19070"/>
      <w:bookmarkStart w:id="107" w:name="_Toc2187"/>
      <w:r>
        <w:rPr>
          <w:rFonts w:hint="eastAsia" w:ascii="Times New Roman"/>
        </w:rPr>
        <w:t>多源遥感数据</w:t>
      </w:r>
      <w:bookmarkEnd w:id="106"/>
      <w:bookmarkEnd w:id="107"/>
    </w:p>
    <w:p w14:paraId="5020C339">
      <w:pPr>
        <w:pStyle w:val="14"/>
        <w:spacing w:after="0" w:line="240" w:lineRule="auto"/>
        <w:ind w:firstLine="420"/>
        <w:rPr>
          <w:rFonts w:ascii="Times New Roman" w:hAnsi="Times New Roman"/>
          <w:sz w:val="21"/>
          <w:szCs w:val="21"/>
        </w:rPr>
      </w:pPr>
      <w:r>
        <w:rPr>
          <w:rFonts w:hint="eastAsia"/>
          <w:sz w:val="21"/>
          <w:szCs w:val="21"/>
        </w:rPr>
        <w:t>包括中国年度土地覆盖数据集</w:t>
      </w:r>
      <w:r>
        <w:rPr>
          <w:rFonts w:ascii="Times New Roman" w:hAnsi="Times New Roman"/>
          <w:sz w:val="21"/>
          <w:szCs w:val="21"/>
        </w:rPr>
        <w:t>(China Land Cover Dataset, CLCD)</w:t>
      </w:r>
      <w:r>
        <w:rPr>
          <w:rFonts w:ascii="Times New Roman" w:hAnsi="Times New Roman"/>
          <w:sz w:val="21"/>
          <w:szCs w:val="21"/>
          <w:vertAlign w:val="superscript"/>
        </w:rPr>
        <w:t>[</w:t>
      </w:r>
      <w:r>
        <w:rPr>
          <w:rFonts w:hint="eastAsia" w:ascii="Times New Roman" w:hAnsi="Times New Roman"/>
          <w:sz w:val="21"/>
          <w:szCs w:val="21"/>
          <w:vertAlign w:val="superscript"/>
          <w:lang w:val="en-US" w:eastAsia="zh-CN"/>
        </w:rPr>
        <w:t>6</w:t>
      </w:r>
      <w:r>
        <w:rPr>
          <w:rFonts w:ascii="Times New Roman" w:hAnsi="Times New Roman"/>
          <w:sz w:val="21"/>
          <w:szCs w:val="21"/>
          <w:vertAlign w:val="superscript"/>
        </w:rPr>
        <w:t>]</w:t>
      </w:r>
      <w:r>
        <w:rPr>
          <w:rFonts w:hint="eastAsia"/>
          <w:sz w:val="21"/>
          <w:szCs w:val="21"/>
        </w:rPr>
        <w:t>、</w:t>
      </w:r>
      <w:r>
        <w:rPr>
          <w:rFonts w:hint="eastAsia" w:ascii="Times New Roman" w:hAnsi="Times New Roman"/>
          <w:sz w:val="21"/>
          <w:szCs w:val="21"/>
        </w:rPr>
        <w:t>NASA earth data MOD17A3HGF.061</w:t>
      </w:r>
      <w:r>
        <w:rPr>
          <w:rFonts w:hint="eastAsia" w:ascii="Times New Roman" w:hAnsi="Times New Roman"/>
          <w:sz w:val="21"/>
          <w:szCs w:val="21"/>
          <w:vertAlign w:val="superscript"/>
        </w:rPr>
        <w:t>[</w:t>
      </w:r>
      <w:r>
        <w:rPr>
          <w:rFonts w:hint="eastAsia" w:ascii="Times New Roman" w:hAnsi="Times New Roman"/>
          <w:sz w:val="21"/>
          <w:szCs w:val="21"/>
          <w:vertAlign w:val="superscript"/>
          <w:lang w:val="en-US" w:eastAsia="zh-CN"/>
        </w:rPr>
        <w:t>7</w:t>
      </w:r>
      <w:r>
        <w:rPr>
          <w:rFonts w:hint="eastAsia" w:ascii="Times New Roman" w:hAnsi="Times New Roman"/>
          <w:sz w:val="21"/>
          <w:szCs w:val="21"/>
          <w:vertAlign w:val="superscript"/>
        </w:rPr>
        <w:t>]</w:t>
      </w:r>
      <w:r>
        <w:rPr>
          <w:rFonts w:hint="eastAsia" w:ascii="Times New Roman" w:hAnsi="Times New Roman"/>
          <w:sz w:val="21"/>
          <w:szCs w:val="21"/>
        </w:rPr>
        <w:t>、世界土壤数据库(Harmonized World Soils Database, HWSD)</w:t>
      </w:r>
      <w:r>
        <w:rPr>
          <w:rFonts w:hint="eastAsia" w:ascii="Times New Roman" w:hAnsi="Times New Roman"/>
          <w:sz w:val="21"/>
          <w:szCs w:val="21"/>
          <w:vertAlign w:val="superscript"/>
        </w:rPr>
        <w:t>[</w:t>
      </w:r>
      <w:r>
        <w:rPr>
          <w:rFonts w:hint="eastAsia" w:ascii="Times New Roman" w:hAnsi="Times New Roman"/>
          <w:sz w:val="21"/>
          <w:szCs w:val="21"/>
          <w:vertAlign w:val="superscript"/>
          <w:lang w:val="en-US" w:eastAsia="zh-CN"/>
        </w:rPr>
        <w:t>8</w:t>
      </w:r>
      <w:r>
        <w:rPr>
          <w:rFonts w:hint="eastAsia" w:ascii="Times New Roman" w:hAnsi="Times New Roman"/>
          <w:sz w:val="21"/>
          <w:szCs w:val="21"/>
          <w:vertAlign w:val="superscript"/>
        </w:rPr>
        <w:t>]</w:t>
      </w:r>
      <w:r>
        <w:rPr>
          <w:rFonts w:hint="eastAsia" w:ascii="Times New Roman" w:hAnsi="Times New Roman"/>
          <w:sz w:val="21"/>
          <w:szCs w:val="21"/>
        </w:rPr>
        <w:t>等数据</w:t>
      </w:r>
      <w:r>
        <w:rPr>
          <w:rFonts w:hint="eastAsia" w:ascii="Times New Roman" w:hAnsi="Times New Roman"/>
          <w:sz w:val="21"/>
          <w:szCs w:val="21"/>
          <w:lang w:eastAsia="zh-CN"/>
        </w:rPr>
        <w:t>，</w:t>
      </w:r>
      <w:r>
        <w:rPr>
          <w:rFonts w:hint="eastAsia" w:ascii="Times New Roman" w:hAnsi="Times New Roman"/>
          <w:sz w:val="21"/>
          <w:szCs w:val="21"/>
        </w:rPr>
        <w:t>均来自于网络公开数据集。</w:t>
      </w:r>
    </w:p>
    <w:p w14:paraId="13EE4E0E">
      <w:pPr>
        <w:pStyle w:val="109"/>
        <w:spacing w:before="120" w:after="120"/>
        <w:rPr>
          <w:rFonts w:ascii="Times New Roman"/>
        </w:rPr>
      </w:pPr>
      <w:bookmarkStart w:id="108" w:name="_Toc18985"/>
      <w:bookmarkStart w:id="109" w:name="_Toc13348"/>
      <w:r>
        <w:rPr>
          <w:rFonts w:hint="eastAsia" w:ascii="Times New Roman"/>
        </w:rPr>
        <w:t>年鉴数据</w:t>
      </w:r>
      <w:bookmarkEnd w:id="108"/>
      <w:bookmarkEnd w:id="109"/>
    </w:p>
    <w:p w14:paraId="38353B97">
      <w:pPr>
        <w:pStyle w:val="60"/>
        <w:ind w:firstLine="420"/>
      </w:pPr>
      <w:r>
        <w:rPr>
          <w:rFonts w:hint="eastAsia"/>
        </w:rPr>
        <w:t>黑龙江省历年统计年鉴。</w:t>
      </w:r>
    </w:p>
    <w:p w14:paraId="6D3BD4C9">
      <w:pPr>
        <w:pStyle w:val="108"/>
        <w:spacing w:before="240" w:after="240"/>
        <w:rPr>
          <w:rFonts w:ascii="Times New Roman"/>
        </w:rPr>
      </w:pPr>
      <w:bookmarkStart w:id="110" w:name="_Toc27972"/>
      <w:r>
        <w:rPr>
          <w:rFonts w:hint="eastAsia" w:ascii="Times New Roman"/>
        </w:rPr>
        <w:t>计算过程</w:t>
      </w:r>
      <w:bookmarkEnd w:id="110"/>
    </w:p>
    <w:p w14:paraId="2B5F276B">
      <w:pPr>
        <w:pStyle w:val="109"/>
        <w:spacing w:before="120" w:after="120"/>
        <w:rPr>
          <w:rFonts w:ascii="Times New Roman"/>
        </w:rPr>
      </w:pPr>
      <w:bookmarkStart w:id="111" w:name="_Toc24910"/>
      <w:r>
        <w:rPr>
          <w:rFonts w:hint="eastAsia" w:ascii="Times New Roman"/>
        </w:rPr>
        <w:t>碳储量计算</w:t>
      </w:r>
      <w:bookmarkEnd w:id="111"/>
    </w:p>
    <w:p w14:paraId="692B45F1">
      <w:pPr>
        <w:pStyle w:val="60"/>
        <w:ind w:firstLine="420"/>
        <w:rPr>
          <w:rFonts w:hint="eastAsia" w:ascii="Times New Roman"/>
          <w:lang w:val="en-US" w:eastAsia="zh-CN"/>
        </w:rPr>
      </w:pPr>
      <w:r>
        <w:rPr>
          <w:rFonts w:hint="eastAsia" w:ascii="Times New Roman"/>
          <w:lang w:val="en-US" w:eastAsia="zh-CN"/>
        </w:rPr>
        <w:t>碳储量估算包含了地上碳储量（AGC）、地下碳储量（BGC）、土壤碳储量（SOC）以及</w:t>
      </w:r>
      <w:r>
        <w:rPr>
          <w:rFonts w:hint="eastAsia"/>
          <w:lang w:val="en-US" w:eastAsia="zh-CN"/>
        </w:rPr>
        <w:t>死亡有机物碳</w:t>
      </w:r>
      <w:r>
        <w:t>储量</w:t>
      </w:r>
      <w:r>
        <w:rPr>
          <w:rFonts w:hint="eastAsia" w:ascii="Times New Roman"/>
          <w:lang w:val="en-US" w:eastAsia="zh-CN"/>
        </w:rPr>
        <w:t>（DOC）。首先，基于星载激光雷达（GEDI）与土地覆盖类型、数字高程模型、净初级生产力等数据集构建随机森林时空预测模型，预测2014年~2018年GEDI足迹点的缺失数据。利用GEDI生物量足迹点、Landsat 8影像及多源环境遥感特征变量（包含辐射、降水、气温等），建立随机森林回归预测实现样本点生物量向连续空间AGC的外推。</w:t>
      </w:r>
    </w:p>
    <w:p w14:paraId="6B7820AB">
      <w:pPr>
        <w:pStyle w:val="60"/>
        <w:ind w:firstLine="420"/>
        <w:rPr>
          <w:rFonts w:hint="eastAsia" w:ascii="Times New Roman"/>
          <w:lang w:val="en-US" w:eastAsia="zh-CN"/>
        </w:rPr>
      </w:pPr>
      <w:r>
        <w:rPr>
          <w:rFonts w:hint="eastAsia" w:ascii="Times New Roman"/>
          <w:lang w:val="en-US" w:eastAsia="zh-CN"/>
        </w:rPr>
        <w:t>对于SOC，采用双线性插值对土壤数据库原始数据降采样，统一空间分辨率为500m，并完成多源影像（包含辐射、降水、气温等）波段合成。在此基础上，构建包含10000个随机点的训练样本，构建随机森林模型并进行SOC预测。</w:t>
      </w:r>
    </w:p>
    <w:p w14:paraId="6A4F08FD">
      <w:pPr>
        <w:pStyle w:val="60"/>
        <w:ind w:firstLine="420"/>
        <w:rPr>
          <w:rFonts w:hint="eastAsia" w:ascii="Times New Roman"/>
          <w:lang w:val="en-US" w:eastAsia="zh-CN"/>
        </w:rPr>
      </w:pPr>
      <w:r>
        <w:rPr>
          <w:rFonts w:hint="eastAsia" w:ascii="Times New Roman"/>
          <w:lang w:val="en-US" w:eastAsia="zh-CN"/>
        </w:rPr>
        <w:t>对于BGC与DOC，采用依附于AGC的间接计量方式。提取来自中国陆地生态系统碳密度数据集</w:t>
      </w:r>
      <w:r>
        <w:rPr>
          <w:rFonts w:hint="eastAsia" w:ascii="Times New Roman"/>
          <w:vertAlign w:val="superscript"/>
          <w:lang w:val="en-US" w:eastAsia="zh-CN"/>
        </w:rPr>
        <w:t>[9]</w:t>
      </w:r>
      <w:r>
        <w:rPr>
          <w:rFonts w:hint="eastAsia" w:ascii="Times New Roman"/>
          <w:lang w:val="en-US" w:eastAsia="zh-CN"/>
        </w:rPr>
        <w:t>中9种地类的碳密度数据，参考InVEST模型碳库框架，</w:t>
      </w:r>
      <w:r>
        <w:rPr>
          <w:rFonts w:hint="eastAsia" w:ascii="Times New Roman"/>
          <w:color w:val="auto"/>
          <w:lang w:val="en-US" w:eastAsia="zh-CN"/>
        </w:rPr>
        <w:t>建立基于包含实测与非实测数据的线性回归方程</w:t>
      </w:r>
      <w:r>
        <w:rPr>
          <w:rFonts w:hint="eastAsia" w:ascii="Times New Roman"/>
          <w:lang w:val="en-US" w:eastAsia="zh-CN"/>
        </w:rPr>
        <w:t>，实现研究区BGC、DOC的碳储量预测。</w:t>
      </w:r>
    </w:p>
    <w:p w14:paraId="59C8833C">
      <w:pPr>
        <w:pStyle w:val="60"/>
        <w:ind w:firstLine="420"/>
        <w:rPr>
          <w:rFonts w:hint="eastAsia" w:ascii="Times New Roman"/>
          <w:lang w:val="en-US" w:eastAsia="zh-CN"/>
        </w:rPr>
      </w:pPr>
      <w:r>
        <w:rPr>
          <w:rFonts w:hint="eastAsia" w:ascii="Times New Roman"/>
          <w:lang w:val="en-US" w:eastAsia="zh-CN"/>
        </w:rPr>
        <w:t>黑龙江省碳储量计算公式如下：</w:t>
      </w:r>
    </w:p>
    <w:p w14:paraId="4AC6E7A6">
      <w:pPr>
        <w:pStyle w:val="60"/>
        <w:ind w:left="0" w:leftChars="0" w:firstLine="2880" w:firstLineChars="1200"/>
        <w:rPr>
          <w:rFonts w:hint="eastAsia" w:ascii="Times New Roman" w:cs="Times New Roman"/>
          <w:position w:val="-12"/>
          <w:sz w:val="21"/>
          <w:szCs w:val="21"/>
          <w:lang w:val="en-US" w:eastAsia="zh-CN"/>
        </w:rPr>
      </w:pPr>
      <w:r>
        <w:rPr>
          <w:rFonts w:ascii="Times New Roman" w:hAnsi="Times New Roman" w:cs="Times New Roman"/>
          <w:position w:val="-12"/>
          <w:sz w:val="24"/>
        </w:rPr>
        <w:object>
          <v:shape id="_x0000_i1025" o:spt="75" alt="" type="#_x0000_t75" style="height:18pt;width:167.65pt;" o:ole="t" filled="f" o:preferrelative="t" stroked="f" coordsize="21600,21600">
            <v:path/>
            <v:fill on="f" focussize="0,0"/>
            <v:stroke on="f"/>
            <v:imagedata r:id="rId18" o:title=""/>
            <o:lock v:ext="edit" aspectratio="t"/>
            <w10:wrap type="none"/>
            <w10:anchorlock/>
          </v:shape>
          <o:OLEObject Type="Embed" ProgID="Equation.KSEE3" ShapeID="_x0000_i1025" DrawAspect="Content" ObjectID="_1468075725" r:id="rId17">
            <o:LockedField>false</o:LockedField>
          </o:OLEObject>
        </w:object>
      </w:r>
      <w:r>
        <w:rPr>
          <w:rFonts w:hint="eastAsia" w:ascii="Times New Roman" w:cs="Times New Roman"/>
          <w:position w:val="-12"/>
          <w:sz w:val="24"/>
          <w:lang w:val="en-US" w:eastAsia="zh-CN"/>
        </w:rPr>
        <w:t xml:space="preserve">                       </w:t>
      </w:r>
      <w:r>
        <w:rPr>
          <w:rFonts w:hint="eastAsia" w:ascii="Times New Roman" w:cs="Times New Roman"/>
          <w:position w:val="-12"/>
          <w:sz w:val="21"/>
          <w:szCs w:val="21"/>
          <w:lang w:val="en-US" w:eastAsia="zh-CN"/>
        </w:rPr>
        <w:t>[1]</w:t>
      </w:r>
    </w:p>
    <w:p w14:paraId="72C906FC">
      <w:pPr>
        <w:pStyle w:val="60"/>
        <w:rPr>
          <w:rFonts w:hint="eastAsia" w:ascii="Times New Roman" w:cs="Times New Roman"/>
          <w:i w:val="0"/>
          <w:iCs w:val="0"/>
          <w:color w:val="auto"/>
          <w:position w:val="-12"/>
          <w:sz w:val="21"/>
          <w:szCs w:val="21"/>
          <w:vertAlign w:val="baseline"/>
          <w:lang w:val="en-US" w:eastAsia="zh-CN"/>
        </w:rPr>
      </w:pPr>
      <w:r>
        <w:rPr>
          <w:rFonts w:hint="eastAsia" w:ascii="Times New Roman" w:cs="Times New Roman"/>
          <w:position w:val="-12"/>
          <w:sz w:val="21"/>
          <w:szCs w:val="21"/>
          <w:lang w:val="en-US" w:eastAsia="zh-CN"/>
        </w:rPr>
        <w:t>其中，</w:t>
      </w:r>
      <w:r>
        <w:rPr>
          <w:rFonts w:hint="eastAsia" w:ascii="Times New Roman" w:cs="Times New Roman"/>
          <w:i/>
          <w:iCs/>
          <w:position w:val="-12"/>
          <w:sz w:val="21"/>
          <w:szCs w:val="21"/>
          <w:lang w:val="en-US" w:eastAsia="zh-CN"/>
        </w:rPr>
        <w:t>Q</w:t>
      </w:r>
      <w:r>
        <w:rPr>
          <w:rFonts w:hint="eastAsia" w:ascii="Times New Roman" w:cs="Times New Roman"/>
          <w:i/>
          <w:iCs/>
          <w:position w:val="-12"/>
          <w:sz w:val="21"/>
          <w:szCs w:val="21"/>
          <w:vertAlign w:val="subscript"/>
          <w:lang w:val="en-US" w:eastAsia="zh-CN"/>
        </w:rPr>
        <w:t>Total</w:t>
      </w:r>
      <w:r>
        <w:rPr>
          <w:rFonts w:hint="eastAsia" w:ascii="Times New Roman" w:cs="Times New Roman"/>
          <w:i w:val="0"/>
          <w:iCs w:val="0"/>
          <w:position w:val="-12"/>
          <w:sz w:val="21"/>
          <w:szCs w:val="21"/>
          <w:vertAlign w:val="baseline"/>
          <w:lang w:val="en-US" w:eastAsia="zh-CN"/>
        </w:rPr>
        <w:t>为总碳储量，</w:t>
      </w:r>
      <w:r>
        <w:rPr>
          <w:rFonts w:hint="eastAsia" w:ascii="Times New Roman" w:cs="Times New Roman"/>
          <w:i/>
          <w:iCs/>
          <w:position w:val="-12"/>
          <w:sz w:val="21"/>
          <w:szCs w:val="21"/>
          <w:lang w:val="en-US" w:eastAsia="zh-CN"/>
        </w:rPr>
        <w:t>Q</w:t>
      </w:r>
      <w:r>
        <w:rPr>
          <w:rFonts w:hint="eastAsia" w:ascii="Times New Roman" w:cs="Times New Roman"/>
          <w:i/>
          <w:iCs/>
          <w:position w:val="-12"/>
          <w:sz w:val="21"/>
          <w:szCs w:val="21"/>
          <w:vertAlign w:val="subscript"/>
          <w:lang w:val="en-US" w:eastAsia="zh-CN"/>
        </w:rPr>
        <w:t>AGC</w:t>
      </w:r>
      <w:r>
        <w:rPr>
          <w:rFonts w:hint="eastAsia" w:ascii="Times New Roman" w:cs="Times New Roman"/>
          <w:i w:val="0"/>
          <w:iCs w:val="0"/>
          <w:position w:val="-12"/>
          <w:sz w:val="21"/>
          <w:szCs w:val="21"/>
          <w:vertAlign w:val="baseline"/>
          <w:lang w:val="en-US" w:eastAsia="zh-CN"/>
        </w:rPr>
        <w:t>为地上碳储量，</w:t>
      </w:r>
      <w:r>
        <w:rPr>
          <w:rFonts w:hint="eastAsia" w:ascii="Times New Roman" w:cs="Times New Roman"/>
          <w:i/>
          <w:iCs/>
          <w:position w:val="-12"/>
          <w:sz w:val="21"/>
          <w:szCs w:val="21"/>
          <w:lang w:val="en-US" w:eastAsia="zh-CN"/>
        </w:rPr>
        <w:t>Q</w:t>
      </w:r>
      <w:r>
        <w:rPr>
          <w:rFonts w:hint="eastAsia" w:ascii="Times New Roman" w:cs="Times New Roman"/>
          <w:i/>
          <w:iCs/>
          <w:position w:val="-12"/>
          <w:sz w:val="21"/>
          <w:szCs w:val="21"/>
          <w:vertAlign w:val="subscript"/>
          <w:lang w:val="en-US" w:eastAsia="zh-CN"/>
        </w:rPr>
        <w:t>BGC</w:t>
      </w:r>
      <w:r>
        <w:rPr>
          <w:rFonts w:hint="eastAsia" w:ascii="Times New Roman" w:cs="Times New Roman"/>
          <w:i w:val="0"/>
          <w:iCs w:val="0"/>
          <w:position w:val="-12"/>
          <w:sz w:val="21"/>
          <w:szCs w:val="21"/>
          <w:vertAlign w:val="baseline"/>
          <w:lang w:val="en-US" w:eastAsia="zh-CN"/>
        </w:rPr>
        <w:t>为地下碳储量，</w:t>
      </w:r>
      <w:r>
        <w:rPr>
          <w:rFonts w:hint="eastAsia" w:ascii="Times New Roman" w:cs="Times New Roman"/>
          <w:i/>
          <w:iCs/>
          <w:position w:val="-12"/>
          <w:sz w:val="21"/>
          <w:szCs w:val="21"/>
          <w:lang w:val="en-US" w:eastAsia="zh-CN"/>
        </w:rPr>
        <w:t>Q</w:t>
      </w:r>
      <w:r>
        <w:rPr>
          <w:rFonts w:hint="eastAsia" w:ascii="Times New Roman" w:cs="Times New Roman"/>
          <w:i/>
          <w:iCs/>
          <w:position w:val="-12"/>
          <w:sz w:val="21"/>
          <w:szCs w:val="21"/>
          <w:vertAlign w:val="subscript"/>
          <w:lang w:val="en-US" w:eastAsia="zh-CN"/>
        </w:rPr>
        <w:t>SOC</w:t>
      </w:r>
      <w:r>
        <w:rPr>
          <w:rFonts w:hint="eastAsia" w:ascii="Times New Roman" w:cs="Times New Roman"/>
          <w:i w:val="0"/>
          <w:iCs w:val="0"/>
          <w:position w:val="-12"/>
          <w:sz w:val="21"/>
          <w:szCs w:val="21"/>
          <w:vertAlign w:val="baseline"/>
          <w:lang w:val="en-US" w:eastAsia="zh-CN"/>
        </w:rPr>
        <w:t>为土壤碳储量，</w:t>
      </w:r>
      <w:r>
        <w:rPr>
          <w:rFonts w:hint="eastAsia" w:ascii="Times New Roman" w:cs="Times New Roman"/>
          <w:i/>
          <w:iCs/>
          <w:color w:val="auto"/>
          <w:position w:val="-12"/>
          <w:sz w:val="21"/>
          <w:szCs w:val="21"/>
          <w:lang w:val="en-US" w:eastAsia="zh-CN"/>
        </w:rPr>
        <w:t>Q</w:t>
      </w:r>
      <w:r>
        <w:rPr>
          <w:rFonts w:hint="eastAsia" w:ascii="Times New Roman" w:cs="Times New Roman"/>
          <w:i/>
          <w:iCs/>
          <w:color w:val="auto"/>
          <w:position w:val="-12"/>
          <w:sz w:val="21"/>
          <w:szCs w:val="21"/>
          <w:vertAlign w:val="subscript"/>
          <w:lang w:val="en-US" w:eastAsia="zh-CN"/>
        </w:rPr>
        <w:t>DOC</w:t>
      </w:r>
      <w:r>
        <w:rPr>
          <w:rFonts w:hint="eastAsia" w:ascii="Times New Roman" w:cs="Times New Roman"/>
          <w:i w:val="0"/>
          <w:iCs w:val="0"/>
          <w:color w:val="auto"/>
          <w:position w:val="-12"/>
          <w:sz w:val="21"/>
          <w:szCs w:val="21"/>
          <w:vertAlign w:val="baseline"/>
          <w:lang w:val="en-US" w:eastAsia="zh-CN"/>
        </w:rPr>
        <w:t>为死亡有机物碳储量。</w:t>
      </w:r>
    </w:p>
    <w:p w14:paraId="0597BAB0">
      <w:pPr>
        <w:pStyle w:val="109"/>
        <w:spacing w:before="120" w:after="120"/>
        <w:rPr>
          <w:rFonts w:ascii="Times New Roman"/>
        </w:rPr>
      </w:pPr>
      <w:bookmarkStart w:id="112" w:name="_Toc25110"/>
      <w:r>
        <w:rPr>
          <w:rFonts w:hint="eastAsia" w:ascii="Times New Roman"/>
        </w:rPr>
        <w:t>碳固存量计算</w:t>
      </w:r>
      <w:bookmarkEnd w:id="112"/>
    </w:p>
    <w:p w14:paraId="28E1B4C6">
      <w:pPr>
        <w:pStyle w:val="60"/>
        <w:ind w:firstLine="420"/>
        <w:rPr>
          <w:rFonts w:hint="eastAsia" w:ascii="Times New Roman"/>
          <w:lang w:val="en-US" w:eastAsia="zh-CN"/>
        </w:rPr>
      </w:pPr>
      <w:r>
        <w:rPr>
          <w:rFonts w:hint="default" w:ascii="Times New Roman"/>
          <w:lang w:val="en-US" w:eastAsia="zh-CN"/>
        </w:rPr>
        <w:t>对</w:t>
      </w:r>
      <w:r>
        <w:rPr>
          <w:rFonts w:hint="eastAsia" w:ascii="Times New Roman"/>
          <w:lang w:val="en-US" w:eastAsia="zh-CN"/>
        </w:rPr>
        <w:t>净初级生产力</w:t>
      </w:r>
      <w:r>
        <w:rPr>
          <w:rFonts w:hint="default" w:ascii="Times New Roman"/>
          <w:lang w:val="en-US" w:eastAsia="zh-CN"/>
        </w:rPr>
        <w:t>、</w:t>
      </w:r>
      <w:r>
        <w:rPr>
          <w:rFonts w:hint="eastAsia" w:ascii="Times New Roman"/>
          <w:lang w:val="en-US" w:eastAsia="zh-CN"/>
        </w:rPr>
        <w:t>土地覆盖类型</w:t>
      </w:r>
      <w:r>
        <w:rPr>
          <w:rFonts w:hint="default" w:ascii="Times New Roman"/>
          <w:lang w:val="en-US" w:eastAsia="zh-CN"/>
        </w:rPr>
        <w:t>、</w:t>
      </w:r>
      <w:r>
        <w:rPr>
          <w:rFonts w:hint="eastAsia" w:ascii="Times New Roman"/>
          <w:lang w:val="en-US" w:eastAsia="zh-CN"/>
        </w:rPr>
        <w:t>数字</w:t>
      </w:r>
      <w:r>
        <w:rPr>
          <w:rFonts w:hint="default" w:ascii="Times New Roman"/>
          <w:lang w:val="en-US" w:eastAsia="zh-CN"/>
        </w:rPr>
        <w:t>高程数据集进行掩膜提取与重采样等预处理，输入至IUEMS模型完成数据的重分类、重投影等二次预处理解译流程。在此基础上，将处理好的数据导入IUEMS平台的固碳释氧模块，</w:t>
      </w:r>
      <w:r>
        <w:rPr>
          <w:rFonts w:hint="eastAsia" w:ascii="Times New Roman"/>
          <w:lang w:val="en-US" w:eastAsia="zh-CN"/>
        </w:rPr>
        <w:t>依据黑龙江省气候类型调整NPP-NEP转换系数，</w:t>
      </w:r>
      <w:r>
        <w:rPr>
          <w:rFonts w:hint="default" w:ascii="Times New Roman"/>
          <w:lang w:val="en-US" w:eastAsia="zh-CN"/>
        </w:rPr>
        <w:t>完成逐年碳</w:t>
      </w:r>
      <w:r>
        <w:rPr>
          <w:rFonts w:hint="eastAsia" w:ascii="Times New Roman"/>
          <w:lang w:val="en-US" w:eastAsia="zh-CN"/>
        </w:rPr>
        <w:t>固存</w:t>
      </w:r>
      <w:r>
        <w:rPr>
          <w:rFonts w:hint="default" w:ascii="Times New Roman"/>
          <w:lang w:val="en-US" w:eastAsia="zh-CN"/>
        </w:rPr>
        <w:t>量的结果输出</w:t>
      </w:r>
      <w:r>
        <w:rPr>
          <w:rFonts w:hint="eastAsia" w:ascii="Times New Roman"/>
          <w:lang w:val="en-US" w:eastAsia="zh-CN"/>
        </w:rPr>
        <w:t>，主要公式如下：</w:t>
      </w:r>
    </w:p>
    <w:p w14:paraId="1CC680F5">
      <w:pPr>
        <w:pStyle w:val="60"/>
        <w:ind w:left="0" w:leftChars="0" w:firstLine="2880" w:firstLineChars="1200"/>
        <w:rPr>
          <w:rFonts w:hint="eastAsia" w:ascii="Times New Roman" w:cs="Times New Roman"/>
          <w:position w:val="-14"/>
          <w:sz w:val="24"/>
          <w:lang w:val="en-US" w:eastAsia="zh-CN"/>
        </w:rPr>
      </w:pPr>
      <w:r>
        <w:rPr>
          <w:rFonts w:ascii="Times New Roman" w:hAnsi="Times New Roman" w:cs="Times New Roman"/>
          <w:position w:val="-14"/>
          <w:sz w:val="24"/>
        </w:rPr>
        <w:object>
          <v:shape id="_x0000_i1026" o:spt="75" type="#_x0000_t75" style="height:18.9pt;width:150.1pt;" o:ole="t" filled="f" o:preferrelative="t" stroked="f" coordsize="21600,21600">
            <v:path/>
            <v:fill on="f" focussize="0,0"/>
            <v:stroke on="f"/>
            <v:imagedata r:id="rId20" o:title=""/>
            <o:lock v:ext="edit" aspectratio="t"/>
            <w10:wrap type="none"/>
            <w10:anchorlock/>
          </v:shape>
          <o:OLEObject Type="Embed" ProgID="Equation.KSEE3" ShapeID="_x0000_i1026" DrawAspect="Content" ObjectID="_1468075726" r:id="rId19">
            <o:LockedField>false</o:LockedField>
          </o:OLEObject>
        </w:object>
      </w:r>
      <w:r>
        <w:rPr>
          <w:rFonts w:hint="eastAsia" w:ascii="Times New Roman" w:cs="Times New Roman"/>
          <w:position w:val="-14"/>
          <w:sz w:val="24"/>
          <w:lang w:val="en-US" w:eastAsia="zh-CN"/>
        </w:rPr>
        <w:t xml:space="preserve">                          </w:t>
      </w:r>
      <w:r>
        <w:rPr>
          <w:rFonts w:hint="eastAsia" w:ascii="Times New Roman" w:cs="Times New Roman"/>
          <w:position w:val="-14"/>
          <w:sz w:val="21"/>
          <w:szCs w:val="21"/>
          <w:lang w:val="en-US" w:eastAsia="zh-CN"/>
        </w:rPr>
        <w:t>[2]</w:t>
      </w:r>
    </w:p>
    <w:p w14:paraId="7F7CEF11">
      <w:pPr>
        <w:pStyle w:val="60"/>
        <w:ind w:firstLine="420"/>
        <w:rPr>
          <w:rFonts w:hint="default" w:ascii="Times New Roman"/>
          <w:color w:val="auto"/>
          <w:lang w:val="en-US" w:eastAsia="zh-CN"/>
        </w:rPr>
      </w:pPr>
      <w:r>
        <w:rPr>
          <w:rFonts w:hint="default" w:ascii="Times New Roman"/>
          <w:lang w:val="en-US" w:eastAsia="zh-CN"/>
        </w:rPr>
        <w:t>其中</w:t>
      </w:r>
      <w:r>
        <w:rPr>
          <w:rFonts w:hint="eastAsia" w:ascii="Times New Roman"/>
          <w:lang w:val="en-US" w:eastAsia="zh-CN"/>
        </w:rPr>
        <w:t>，</w:t>
      </w:r>
      <w:r>
        <w:rPr>
          <w:rFonts w:hint="default" w:ascii="Times New Roman"/>
          <w:lang w:val="en-US" w:eastAsia="zh-CN"/>
        </w:rPr>
        <w:t>NEP为固碳密度（t C/ha）， M</w:t>
      </w:r>
      <w:r>
        <w:rPr>
          <w:rFonts w:hint="default" w:ascii="Times New Roman"/>
          <w:vertAlign w:val="subscript"/>
          <w:lang w:val="en-US" w:eastAsia="zh-CN"/>
        </w:rPr>
        <w:t>C6</w:t>
      </w:r>
      <w:r>
        <w:rPr>
          <w:rFonts w:hint="default" w:ascii="Times New Roman"/>
          <w:lang w:val="en-US" w:eastAsia="zh-CN"/>
        </w:rPr>
        <w:t>/M</w:t>
      </w:r>
      <w:r>
        <w:rPr>
          <w:rFonts w:hint="default" w:ascii="Times New Roman"/>
          <w:vertAlign w:val="subscript"/>
          <w:lang w:val="en-US" w:eastAsia="zh-CN"/>
        </w:rPr>
        <w:t>C6H10O5</w:t>
      </w:r>
      <w:r>
        <w:rPr>
          <w:rFonts w:hint="default" w:ascii="Times New Roman"/>
          <w:lang w:val="en-US" w:eastAsia="zh-CN"/>
        </w:rPr>
        <w:t>为碳与干生物量的分子量比（72/162）。</w:t>
      </w:r>
      <w:r>
        <w:rPr>
          <w:rFonts w:hint="default" w:ascii="Times New Roman"/>
          <w:color w:val="auto"/>
          <w:lang w:val="en-US" w:eastAsia="zh-CN"/>
        </w:rPr>
        <w:t>α表示IUEMS的经验NPP-NEP转换系数，该系数来自不同陆地生态系统通量数据的观测和统计分析。</w:t>
      </w:r>
    </w:p>
    <w:p w14:paraId="75E0EAAA">
      <w:pPr>
        <w:pStyle w:val="109"/>
        <w:spacing w:before="120" w:after="120"/>
        <w:rPr>
          <w:rFonts w:ascii="Times New Roman"/>
        </w:rPr>
      </w:pPr>
      <w:bookmarkStart w:id="113" w:name="_Toc10809"/>
      <w:r>
        <w:rPr>
          <w:rFonts w:hint="eastAsia" w:ascii="Times New Roman"/>
        </w:rPr>
        <w:t>碳排放量计算</w:t>
      </w:r>
      <w:bookmarkEnd w:id="113"/>
    </w:p>
    <w:p w14:paraId="730F82FA">
      <w:pPr>
        <w:pStyle w:val="60"/>
        <w:ind w:firstLine="420"/>
        <w:rPr>
          <w:rFonts w:hint="eastAsia" w:ascii="Times New Roman"/>
          <w:lang w:val="en-US" w:eastAsia="zh-CN"/>
        </w:rPr>
      </w:pPr>
      <w:r>
        <w:rPr>
          <w:rFonts w:hint="eastAsia" w:ascii="Times New Roman"/>
          <w:lang w:val="en-US" w:eastAsia="zh-CN"/>
        </w:rPr>
        <w:t>对来自黑龙江省统计年鉴中的历年燃料燃烧碳排放量、交通运输碳排放量、水泥生产碳排放量、生铁/粗钢生产碳排放量进行提取、分类、掩膜并计算对应地类碳排放密度，建立碳排放量数据集。具体公式如下：</w:t>
      </w:r>
    </w:p>
    <w:p w14:paraId="37CAC31C">
      <w:pPr>
        <w:pStyle w:val="60"/>
        <w:ind w:firstLine="2940" w:firstLineChars="1400"/>
        <w:rPr>
          <w:rFonts w:hint="eastAsia" w:ascii="Times New Roman"/>
          <w:lang w:val="en-US" w:eastAsia="zh-CN"/>
        </w:rPr>
      </w:pPr>
      <w:r>
        <w:rPr>
          <w:rFonts w:hint="eastAsia" w:ascii="Times New Roman"/>
        </w:rPr>
        <w:object>
          <v:shape id="_x0000_i1027" o:spt="75" type="#_x0000_t75" style="height:21.25pt;width:184.15pt;" o:ole="t" filled="f" o:preferrelative="t" stroked="f" coordsize="21600,21600">
            <v:path/>
            <v:fill on="f" focussize="0,0"/>
            <v:stroke on="f" joinstyle="miter"/>
            <v:imagedata r:id="rId22" o:title=""/>
            <o:lock v:ext="edit" aspectratio="t"/>
            <w10:wrap type="none"/>
            <w10:anchorlock/>
          </v:shape>
          <o:OLEObject Type="Embed" ProgID="Equation.KSEE3" ShapeID="_x0000_i1027" DrawAspect="Content" ObjectID="_1468075727" r:id="rId21">
            <o:LockedField>false</o:LockedField>
          </o:OLEObject>
        </w:object>
      </w:r>
      <w:r>
        <w:rPr>
          <w:rFonts w:hint="eastAsia" w:ascii="Times New Roman"/>
          <w:lang w:val="en-US" w:eastAsia="zh-CN"/>
        </w:rPr>
        <w:t xml:space="preserve">                       [3]</w:t>
      </w:r>
    </w:p>
    <w:p w14:paraId="39E1984B">
      <w:pPr>
        <w:pStyle w:val="60"/>
        <w:ind w:firstLine="420"/>
        <w:rPr>
          <w:rFonts w:hint="eastAsia" w:ascii="Times New Roman"/>
          <w:lang w:val="en-US" w:eastAsia="zh-CN"/>
        </w:rPr>
      </w:pPr>
      <w:r>
        <w:rPr>
          <w:rFonts w:hint="eastAsia" w:ascii="Times New Roman"/>
          <w:lang w:val="en-US" w:eastAsia="zh-CN"/>
        </w:rPr>
        <w:t>其中，</w:t>
      </w:r>
      <w:r>
        <w:rPr>
          <w:rFonts w:hint="eastAsia" w:ascii="Times New Roman"/>
          <w:i/>
          <w:iCs/>
          <w:lang w:val="en-US" w:eastAsia="zh-CN"/>
        </w:rPr>
        <w:t>Q</w:t>
      </w:r>
      <w:r>
        <w:rPr>
          <w:rFonts w:hint="eastAsia" w:ascii="Times New Roman"/>
          <w:i/>
          <w:iCs/>
          <w:vertAlign w:val="subscript"/>
          <w:lang w:val="en-US" w:eastAsia="zh-CN"/>
        </w:rPr>
        <w:t>fuel</w:t>
      </w:r>
      <w:r>
        <w:rPr>
          <w:rFonts w:hint="eastAsia" w:ascii="Times New Roman"/>
          <w:lang w:val="en-US" w:eastAsia="zh-CN"/>
        </w:rPr>
        <w:t>为能源消费产生的年碳排放量（以Tg C计），</w:t>
      </w:r>
      <w:r>
        <w:rPr>
          <w:rFonts w:hint="eastAsia" w:ascii="Times New Roman"/>
          <w:i/>
          <w:iCs/>
          <w:lang w:val="en-US" w:eastAsia="zh-CN"/>
        </w:rPr>
        <w:t>M</w:t>
      </w:r>
      <w:r>
        <w:rPr>
          <w:rFonts w:hint="eastAsia" w:ascii="Times New Roman"/>
          <w:i/>
          <w:iCs/>
          <w:vertAlign w:val="subscript"/>
          <w:lang w:val="en-US" w:eastAsia="zh-CN"/>
        </w:rPr>
        <w:t>f</w:t>
      </w:r>
      <w:r>
        <w:rPr>
          <w:rFonts w:hint="eastAsia" w:ascii="Times New Roman"/>
          <w:lang w:val="en-US" w:eastAsia="zh-CN"/>
        </w:rPr>
        <w:t>为黑龙江省各县市的总能源使用量（以 10</w:t>
      </w:r>
      <w:r>
        <w:rPr>
          <w:rFonts w:hint="eastAsia" w:ascii="Times New Roman"/>
          <w:vertAlign w:val="superscript"/>
          <w:lang w:val="en-US" w:eastAsia="zh-CN"/>
        </w:rPr>
        <w:t>4</w:t>
      </w:r>
      <w:r>
        <w:rPr>
          <w:rFonts w:hint="eastAsia" w:ascii="Times New Roman"/>
          <w:lang w:val="en-US" w:eastAsia="zh-CN"/>
        </w:rPr>
        <w:t xml:space="preserve"> t标准煤计），</w:t>
      </w:r>
      <w:r>
        <w:rPr>
          <w:rFonts w:hint="eastAsia" w:ascii="Times New Roman"/>
          <w:i/>
          <w:iCs/>
          <w:lang w:val="en-US" w:eastAsia="zh-CN"/>
        </w:rPr>
        <w:t>C</w:t>
      </w:r>
      <w:r>
        <w:rPr>
          <w:rFonts w:hint="eastAsia" w:ascii="Times New Roman"/>
          <w:i/>
          <w:iCs/>
          <w:vertAlign w:val="subscript"/>
          <w:lang w:val="en-US" w:eastAsia="zh-CN"/>
        </w:rPr>
        <w:t>Vf</w:t>
      </w:r>
      <w:r>
        <w:rPr>
          <w:rFonts w:hint="eastAsia" w:ascii="Times New Roman"/>
          <w:lang w:val="en-US" w:eastAsia="zh-CN"/>
        </w:rPr>
        <w:t>为标准煤的热值（29.307 GJ/t），</w:t>
      </w:r>
      <w:r>
        <w:rPr>
          <w:rFonts w:hint="eastAsia" w:ascii="Times New Roman"/>
          <w:i/>
          <w:iCs/>
          <w:lang w:val="en-US" w:eastAsia="zh-CN"/>
        </w:rPr>
        <w:t>Cc</w:t>
      </w:r>
      <w:r>
        <w:rPr>
          <w:rFonts w:hint="eastAsia" w:ascii="Times New Roman"/>
          <w:lang w:val="en-US" w:eastAsia="zh-CN"/>
        </w:rPr>
        <w:t>为单位热值的碳含量（0.0237 t C/GJ），</w:t>
      </w:r>
      <w:r>
        <w:rPr>
          <w:rFonts w:hint="eastAsia" w:ascii="Times New Roman"/>
          <w:i/>
          <w:iCs/>
          <w:lang w:val="en-US" w:eastAsia="zh-CN"/>
        </w:rPr>
        <w:t>R</w:t>
      </w:r>
      <w:r>
        <w:rPr>
          <w:rFonts w:hint="eastAsia" w:ascii="Times New Roman"/>
          <w:i/>
          <w:iCs/>
          <w:vertAlign w:val="subscript"/>
          <w:lang w:val="en-US" w:eastAsia="zh-CN"/>
        </w:rPr>
        <w:t>f</w:t>
      </w:r>
      <w:r>
        <w:rPr>
          <w:rFonts w:hint="eastAsia" w:ascii="Times New Roman"/>
          <w:lang w:val="en-US" w:eastAsia="zh-CN"/>
        </w:rPr>
        <w:t>为氧化率（取0.94）。</w:t>
      </w:r>
    </w:p>
    <w:p w14:paraId="290BE92A">
      <w:pPr>
        <w:pStyle w:val="60"/>
        <w:ind w:firstLine="2940" w:firstLineChars="1400"/>
        <w:rPr>
          <w:rFonts w:hint="eastAsia" w:ascii="Times New Roman"/>
          <w:lang w:val="en-US" w:eastAsia="zh-CN"/>
        </w:rPr>
      </w:pPr>
      <w:r>
        <w:rPr>
          <w:rFonts w:hint="eastAsia" w:ascii="Times New Roman"/>
        </w:rPr>
        <w:object>
          <v:shape id="_x0000_i1028" o:spt="75" type="#_x0000_t75" style="height:30.45pt;width:168.45pt;" o:ole="t" filled="f" o:preferrelative="t" stroked="f" coordsize="21600,21600">
            <v:path/>
            <v:fill on="f" focussize="0,0"/>
            <v:stroke on="f" joinstyle="miter"/>
            <v:imagedata r:id="rId24" o:title=""/>
            <o:lock v:ext="edit" aspectratio="t"/>
            <w10:wrap type="none"/>
            <w10:anchorlock/>
          </v:shape>
          <o:OLEObject Type="Embed" ProgID="Equation.KSEE3" ShapeID="_x0000_i1028" DrawAspect="Content" ObjectID="_1468075728" r:id="rId23">
            <o:LockedField>false</o:LockedField>
          </o:OLEObject>
        </w:object>
      </w:r>
      <w:r>
        <w:rPr>
          <w:rFonts w:hint="eastAsia" w:ascii="Times New Roman"/>
          <w:lang w:val="en-US" w:eastAsia="zh-CN"/>
        </w:rPr>
        <w:t xml:space="preserve">                          [4]</w:t>
      </w:r>
    </w:p>
    <w:p w14:paraId="0506CD20">
      <w:pPr>
        <w:pStyle w:val="60"/>
        <w:ind w:firstLine="420"/>
        <w:rPr>
          <w:rFonts w:hint="eastAsia" w:ascii="Times New Roman"/>
          <w:lang w:val="en-US" w:eastAsia="zh-CN"/>
        </w:rPr>
      </w:pPr>
      <w:r>
        <w:rPr>
          <w:rFonts w:hint="eastAsia" w:ascii="Times New Roman"/>
          <w:i/>
          <w:iCs/>
          <w:lang w:val="en-US" w:eastAsia="zh-CN"/>
        </w:rPr>
        <w:t>Q</w:t>
      </w:r>
      <w:r>
        <w:rPr>
          <w:rFonts w:hint="eastAsia" w:ascii="Times New Roman"/>
          <w:i/>
          <w:iCs/>
          <w:vertAlign w:val="subscript"/>
          <w:lang w:val="en-US" w:eastAsia="zh-CN"/>
        </w:rPr>
        <w:t>cement</w:t>
      </w:r>
      <w:r>
        <w:rPr>
          <w:rFonts w:hint="eastAsia" w:ascii="Times New Roman"/>
          <w:lang w:val="en-US" w:eastAsia="zh-CN"/>
        </w:rPr>
        <w:t>表示水泥生产过程中的年排放量（以Tg C计），其中</w:t>
      </w:r>
      <w:r>
        <w:rPr>
          <w:rFonts w:hint="eastAsia" w:ascii="Times New Roman"/>
          <w:i/>
          <w:iCs/>
          <w:lang w:val="en-US" w:eastAsia="zh-CN"/>
        </w:rPr>
        <w:t>Mc</w:t>
      </w:r>
      <w:r>
        <w:rPr>
          <w:rFonts w:hint="eastAsia" w:ascii="Times New Roman"/>
          <w:lang w:val="en-US" w:eastAsia="zh-CN"/>
        </w:rPr>
        <w:t>为水泥产量（以10</w:t>
      </w:r>
      <w:r>
        <w:rPr>
          <w:rFonts w:hint="eastAsia" w:ascii="Times New Roman"/>
          <w:vertAlign w:val="superscript"/>
          <w:lang w:val="en-US" w:eastAsia="zh-CN"/>
        </w:rPr>
        <w:t>4</w:t>
      </w:r>
      <w:r>
        <w:rPr>
          <w:rFonts w:hint="eastAsia" w:ascii="Times New Roman"/>
          <w:lang w:val="en-US" w:eastAsia="zh-CN"/>
        </w:rPr>
        <w:t xml:space="preserve"> t计），</w:t>
      </w:r>
      <w:r>
        <w:rPr>
          <w:rFonts w:hint="eastAsia" w:ascii="Times New Roman"/>
          <w:i/>
          <w:iCs/>
          <w:lang w:val="en-US" w:eastAsia="zh-CN"/>
        </w:rPr>
        <w:t>Pc</w:t>
      </w:r>
      <w:r>
        <w:rPr>
          <w:rFonts w:hint="eastAsia" w:ascii="Times New Roman"/>
          <w:lang w:val="en-US" w:eastAsia="zh-CN"/>
        </w:rPr>
        <w:t>为熟料比例（0.4964 t CO</w:t>
      </w:r>
      <w:r>
        <w:rPr>
          <w:rFonts w:hint="eastAsia" w:ascii="Times New Roman"/>
          <w:vertAlign w:val="subscript"/>
          <w:lang w:val="en-US" w:eastAsia="zh-CN"/>
        </w:rPr>
        <w:t>2</w:t>
      </w:r>
      <w:r>
        <w:rPr>
          <w:rFonts w:hint="eastAsia" w:ascii="Times New Roman"/>
          <w:lang w:val="en-US" w:eastAsia="zh-CN"/>
        </w:rPr>
        <w:t>/t），</w:t>
      </w:r>
      <w:r>
        <w:rPr>
          <w:rFonts w:hint="default" w:ascii="Times New Roman" w:hAnsi="Times New Roman" w:cs="Times New Roman"/>
          <w:i/>
          <w:iCs/>
          <w:lang w:val="en-US" w:eastAsia="zh-CN"/>
        </w:rPr>
        <w:t>α</w:t>
      </w:r>
      <w:r>
        <w:rPr>
          <w:rFonts w:hint="default" w:ascii="Times New Roman" w:hAnsi="Times New Roman" w:cs="Times New Roman"/>
          <w:i/>
          <w:iCs/>
          <w:vertAlign w:val="subscript"/>
          <w:lang w:val="en-US" w:eastAsia="zh-CN"/>
        </w:rPr>
        <w:t>c</w:t>
      </w:r>
      <w:r>
        <w:rPr>
          <w:rFonts w:hint="eastAsia" w:ascii="Times New Roman"/>
          <w:lang w:val="en-US" w:eastAsia="zh-CN"/>
        </w:rPr>
        <w:t>为熟料排放系数（取0.65）。</w:t>
      </w:r>
    </w:p>
    <w:p w14:paraId="79D8C901">
      <w:pPr>
        <w:pStyle w:val="60"/>
        <w:ind w:firstLine="2940" w:firstLineChars="1400"/>
        <w:rPr>
          <w:rFonts w:hint="eastAsia" w:ascii="Times New Roman"/>
          <w:lang w:val="en-US" w:eastAsia="zh-CN"/>
        </w:rPr>
      </w:pPr>
      <w:r>
        <w:rPr>
          <w:rFonts w:hint="eastAsia" w:ascii="Times New Roman"/>
        </w:rPr>
        <w:object>
          <v:shape id="_x0000_i1029" o:spt="75" type="#_x0000_t75" style="height:30.45pt;width:156.9pt;" o:ole="t" filled="f" o:preferrelative="t" stroked="f" coordsize="21600,21600">
            <v:path/>
            <v:fill on="f" focussize="0,0"/>
            <v:stroke on="f" joinstyle="miter"/>
            <v:imagedata r:id="rId26" o:title=""/>
            <o:lock v:ext="edit" aspectratio="t"/>
            <w10:wrap type="none"/>
            <w10:anchorlock/>
          </v:shape>
          <o:OLEObject Type="Embed" ProgID="Equation.KSEE3" ShapeID="_x0000_i1029" DrawAspect="Content" ObjectID="_1468075729" r:id="rId25">
            <o:LockedField>false</o:LockedField>
          </o:OLEObject>
        </w:object>
      </w:r>
      <w:r>
        <w:rPr>
          <w:rFonts w:hint="eastAsia" w:ascii="Times New Roman"/>
          <w:lang w:val="en-US" w:eastAsia="zh-CN"/>
        </w:rPr>
        <w:t xml:space="preserve">                            [5]</w:t>
      </w:r>
    </w:p>
    <w:p w14:paraId="5E4A8063">
      <w:pPr>
        <w:pStyle w:val="60"/>
        <w:ind w:firstLine="420"/>
      </w:pPr>
      <w:r>
        <w:rPr>
          <w:rFonts w:hint="eastAsia" w:ascii="Times New Roman"/>
          <w:i/>
          <w:iCs/>
          <w:lang w:val="en-US" w:eastAsia="zh-CN"/>
        </w:rPr>
        <w:t>Q</w:t>
      </w:r>
      <w:r>
        <w:rPr>
          <w:rFonts w:hint="eastAsia" w:ascii="Times New Roman"/>
          <w:i/>
          <w:iCs/>
          <w:vertAlign w:val="subscript"/>
          <w:lang w:val="en-US" w:eastAsia="zh-CN"/>
        </w:rPr>
        <w:t>steel</w:t>
      </w:r>
      <w:r>
        <w:rPr>
          <w:rFonts w:hint="eastAsia" w:ascii="Times New Roman"/>
          <w:lang w:val="en-US" w:eastAsia="zh-CN"/>
        </w:rPr>
        <w:t>为钢铁生产年度排放量（以Tg C计），</w:t>
      </w:r>
      <w:r>
        <w:rPr>
          <w:rFonts w:hint="eastAsia" w:ascii="Times New Roman"/>
          <w:i/>
          <w:iCs/>
          <w:lang w:val="en-US" w:eastAsia="zh-CN"/>
        </w:rPr>
        <w:t>Ms</w:t>
      </w:r>
      <w:r>
        <w:rPr>
          <w:rFonts w:hint="eastAsia" w:ascii="Times New Roman"/>
          <w:lang w:val="en-US" w:eastAsia="zh-CN"/>
        </w:rPr>
        <w:t>为生铁和粗钢的总产量（以104t计），</w:t>
      </w:r>
      <w:r>
        <w:rPr>
          <w:rFonts w:hint="default" w:ascii="Times New Roman" w:hAnsi="Times New Roman" w:cs="Times New Roman"/>
          <w:i/>
          <w:iCs/>
          <w:lang w:val="en-US" w:eastAsia="zh-CN"/>
        </w:rPr>
        <w:t>α</w:t>
      </w:r>
      <w:r>
        <w:rPr>
          <w:rFonts w:hint="default" w:ascii="Times New Roman" w:hAnsi="Times New Roman" w:cs="Times New Roman"/>
          <w:i/>
          <w:iCs/>
          <w:vertAlign w:val="subscript"/>
          <w:lang w:val="en-US" w:eastAsia="zh-CN"/>
        </w:rPr>
        <w:t>s</w:t>
      </w:r>
      <w:r>
        <w:rPr>
          <w:rFonts w:hint="eastAsia" w:ascii="Times New Roman"/>
          <w:lang w:val="en-US" w:eastAsia="zh-CN"/>
        </w:rPr>
        <w:t>为综合排放系数（生铁为1.35 t CO</w:t>
      </w:r>
      <w:r>
        <w:rPr>
          <w:rFonts w:hint="eastAsia" w:ascii="Times New Roman"/>
          <w:vertAlign w:val="subscript"/>
          <w:lang w:val="en-US" w:eastAsia="zh-CN"/>
        </w:rPr>
        <w:t>2</w:t>
      </w:r>
      <w:r>
        <w:rPr>
          <w:rFonts w:hint="eastAsia" w:ascii="Times New Roman"/>
          <w:lang w:val="en-US" w:eastAsia="zh-CN"/>
        </w:rPr>
        <w:t>/t；粗钢为1.06 t CO</w:t>
      </w:r>
      <w:r>
        <w:rPr>
          <w:rFonts w:hint="eastAsia" w:ascii="Times New Roman"/>
          <w:vertAlign w:val="subscript"/>
          <w:lang w:val="en-US" w:eastAsia="zh-CN"/>
        </w:rPr>
        <w:t>2</w:t>
      </w:r>
      <w:r>
        <w:rPr>
          <w:rFonts w:hint="eastAsia" w:ascii="Times New Roman"/>
          <w:lang w:val="en-US" w:eastAsia="zh-CN"/>
        </w:rPr>
        <w:t>/t）。</w:t>
      </w:r>
    </w:p>
    <w:p w14:paraId="6B2C369F">
      <w:pPr>
        <w:pStyle w:val="108"/>
        <w:spacing w:before="240" w:after="240"/>
        <w:rPr>
          <w:rFonts w:ascii="Times New Roman"/>
        </w:rPr>
      </w:pPr>
      <w:bookmarkStart w:id="114" w:name="_Toc3786"/>
      <w:r>
        <w:rPr>
          <w:rFonts w:ascii="Times New Roman"/>
        </w:rPr>
        <w:t>参数校正</w:t>
      </w:r>
      <w:bookmarkEnd w:id="114"/>
    </w:p>
    <w:p w14:paraId="1A3857BE">
      <w:pPr>
        <w:pStyle w:val="14"/>
        <w:spacing w:line="240" w:lineRule="auto"/>
        <w:ind w:firstLine="420"/>
        <w:rPr>
          <w:rFonts w:ascii="Times New Roman" w:hAnsi="Times New Roman"/>
        </w:rPr>
      </w:pPr>
      <w:r>
        <w:rPr>
          <w:rFonts w:ascii="Times New Roman" w:hAnsi="Times New Roman"/>
        </w:rPr>
        <w:t>生物量碳密度与土壤有机碳密度均与年降水量呈正相关关系，生物量碳密度与年平均气温呈弱相关关系，因此使用的修正碳密度的基础公式：</w:t>
      </w:r>
    </w:p>
    <w:p w14:paraId="7E8ACFBD">
      <w:pPr>
        <w:pStyle w:val="14"/>
        <w:spacing w:line="240" w:lineRule="auto"/>
        <w:ind w:firstLine="3570" w:firstLineChars="1700"/>
        <w:rPr>
          <w:rFonts w:hint="default" w:ascii="Times New Roman" w:hAnsi="Times New Roman" w:cs="Times New Roman"/>
        </w:rPr>
      </w:pPr>
      <w:r>
        <w:rPr>
          <w:rFonts w:hint="default" w:ascii="Times New Roman" w:hAnsi="Times New Roman" w:cs="Times New Roman"/>
          <w:position w:val="-12"/>
        </w:rPr>
        <w:object>
          <v:shape id="_x0000_i1030" o:spt="75" type="#_x0000_t75" style="height:18pt;width:115.85pt;" o:ole="t" filled="f" o:preferrelative="t" stroked="f" coordsize="21600,21600">
            <v:path/>
            <v:fill on="f" focussize="0,0"/>
            <v:stroke on="f" joinstyle="miter"/>
            <v:imagedata r:id="rId28" o:title=""/>
            <o:lock v:ext="edit" aspectratio="t"/>
            <w10:wrap type="none"/>
            <w10:anchorlock/>
          </v:shape>
          <o:OLEObject Type="Embed" ProgID="Equation.DSMT4" ShapeID="_x0000_i1030" DrawAspect="Content" ObjectID="_1468075730" r:id="rId27">
            <o:LockedField>false</o:LockedField>
          </o:OLEObject>
        </w:object>
      </w:r>
    </w:p>
    <w:p w14:paraId="2E507CF3">
      <w:pPr>
        <w:pStyle w:val="14"/>
        <w:spacing w:line="240" w:lineRule="auto"/>
        <w:ind w:firstLine="3570" w:firstLineChars="1700"/>
        <w:rPr>
          <w:rFonts w:hint="default" w:ascii="Times New Roman" w:hAnsi="Times New Roman" w:cs="Times New Roman"/>
          <w:lang w:val="en-US"/>
        </w:rPr>
      </w:pPr>
      <w:r>
        <w:rPr>
          <w:rFonts w:hint="default" w:ascii="Times New Roman" w:hAnsi="Times New Roman" w:cs="Times New Roman"/>
          <w:position w:val="-12"/>
        </w:rPr>
        <w:object>
          <v:shape id="_x0000_i1031" o:spt="75" type="#_x0000_t75" style="height:18.9pt;width:90pt;" o:ole="t" filled="f" o:preferrelative="t" stroked="f" coordsize="21600,21600">
            <v:path/>
            <v:fill on="f" focussize="0,0"/>
            <v:stroke on="f" joinstyle="miter"/>
            <v:imagedata r:id="rId30" o:title=""/>
            <o:lock v:ext="edit" aspectratio="t"/>
            <w10:wrap type="none"/>
            <w10:anchorlock/>
          </v:shape>
          <o:OLEObject Type="Embed" ProgID="Equation.DSMT4" ShapeID="_x0000_i1031" DrawAspect="Content" ObjectID="_1468075731" r:id="rId29">
            <o:LockedField>false</o:LockedField>
          </o:OLEObject>
        </w:object>
      </w:r>
      <w:r>
        <w:rPr>
          <w:rFonts w:hint="default" w:ascii="Times New Roman" w:hAnsi="Times New Roman" w:cs="Times New Roman"/>
        </w:rPr>
        <w:t xml:space="preserve">                            </w:t>
      </w:r>
      <w:r>
        <w:rPr>
          <w:rFonts w:hint="default" w:ascii="Times New Roman" w:hAnsi="Times New Roman" w:cs="Times New Roman"/>
          <w:lang w:val="en-US" w:eastAsia="zh-CN"/>
        </w:rPr>
        <w:t xml:space="preserve">       [6]</w:t>
      </w:r>
    </w:p>
    <w:p w14:paraId="60D63058">
      <w:pPr>
        <w:pStyle w:val="14"/>
        <w:spacing w:line="240" w:lineRule="auto"/>
        <w:ind w:firstLine="3570" w:firstLineChars="1700"/>
        <w:rPr>
          <w:rFonts w:hint="default" w:ascii="Times New Roman" w:hAnsi="Times New Roman" w:cs="Times New Roman"/>
        </w:rPr>
      </w:pPr>
      <w:r>
        <w:rPr>
          <w:rFonts w:hint="default" w:ascii="Times New Roman" w:hAnsi="Times New Roman" w:cs="Times New Roman"/>
          <w:position w:val="-12"/>
        </w:rPr>
        <w:object>
          <v:shape id="_x0000_i1032" o:spt="75" type="#_x0000_t75" style="height:18pt;width:82.15pt;" o:ole="t" filled="f" o:preferrelative="t" stroked="f" coordsize="21600,21600">
            <v:path/>
            <v:fill on="f" focussize="0,0"/>
            <v:stroke on="f" joinstyle="miter"/>
            <v:imagedata r:id="rId32" o:title=""/>
            <o:lock v:ext="edit" aspectratio="t"/>
            <w10:wrap type="none"/>
            <w10:anchorlock/>
          </v:shape>
          <o:OLEObject Type="Embed" ProgID="Equation.DSMT4" ShapeID="_x0000_i1032" DrawAspect="Content" ObjectID="_1468075732" r:id="rId31">
            <o:LockedField>false</o:LockedField>
          </o:OLEObject>
        </w:object>
      </w:r>
    </w:p>
    <w:p w14:paraId="14099768">
      <w:pPr>
        <w:pStyle w:val="14"/>
        <w:spacing w:line="240" w:lineRule="auto"/>
        <w:ind w:firstLine="420"/>
        <w:rPr>
          <w:rFonts w:ascii="Times New Roman" w:hAnsi="Times New Roman"/>
        </w:rPr>
      </w:pPr>
      <w:r>
        <w:rPr>
          <w:rFonts w:ascii="Times New Roman" w:hAnsi="Times New Roman"/>
        </w:rPr>
        <w:t>式中，</w:t>
      </w:r>
      <w:r>
        <w:rPr>
          <w:rFonts w:ascii="Times New Roman" w:hAnsi="Times New Roman"/>
          <w:i/>
          <w:iCs/>
        </w:rPr>
        <w:t>P</w:t>
      </w:r>
      <w:r>
        <w:rPr>
          <w:rFonts w:ascii="Times New Roman" w:hAnsi="Times New Roman"/>
        </w:rPr>
        <w:t>为年降水量(mm),T为年平均气温(℃)，</w:t>
      </w:r>
      <w:r>
        <w:rPr>
          <w:rFonts w:ascii="Times New Roman" w:hAnsi="Times New Roman"/>
          <w:i/>
          <w:iCs/>
        </w:rPr>
        <w:t>C</w:t>
      </w:r>
      <w:r>
        <w:rPr>
          <w:rFonts w:ascii="Times New Roman" w:hAnsi="Times New Roman"/>
          <w:i/>
          <w:iCs/>
          <w:vertAlign w:val="subscript"/>
        </w:rPr>
        <w:t>SP</w:t>
      </w:r>
      <w:r>
        <w:rPr>
          <w:rFonts w:ascii="Times New Roman" w:hAnsi="Times New Roman"/>
        </w:rPr>
        <w:t>为根据年降水量得到的土壤有机碳密度(g C·m</w:t>
      </w:r>
      <w:r>
        <w:rPr>
          <w:rFonts w:ascii="Times New Roman" w:hAnsi="Times New Roman"/>
          <w:vertAlign w:val="superscript"/>
        </w:rPr>
        <w:t>–2</w:t>
      </w:r>
      <w:r>
        <w:rPr>
          <w:rFonts w:ascii="Times New Roman" w:hAnsi="Times New Roman"/>
        </w:rPr>
        <w:t>)，</w:t>
      </w:r>
      <w:r>
        <w:rPr>
          <w:rFonts w:ascii="Times New Roman" w:hAnsi="Times New Roman"/>
          <w:i/>
          <w:iCs/>
        </w:rPr>
        <w:t>C</w:t>
      </w:r>
      <w:r>
        <w:rPr>
          <w:rFonts w:ascii="Times New Roman" w:hAnsi="Times New Roman"/>
          <w:i/>
          <w:iCs/>
          <w:vertAlign w:val="subscript"/>
        </w:rPr>
        <w:t>BP</w:t>
      </w:r>
      <w:r>
        <w:rPr>
          <w:rFonts w:ascii="Times New Roman" w:hAnsi="Times New Roman"/>
        </w:rPr>
        <w:t>为根据年降水量得到的生物量碳密度(g C·m</w:t>
      </w:r>
      <w:r>
        <w:rPr>
          <w:rFonts w:ascii="Times New Roman" w:hAnsi="Times New Roman"/>
          <w:vertAlign w:val="superscript"/>
        </w:rPr>
        <w:t>–2</w:t>
      </w:r>
      <w:r>
        <w:rPr>
          <w:rFonts w:ascii="Times New Roman" w:hAnsi="Times New Roman"/>
        </w:rPr>
        <w:t>)，</w:t>
      </w:r>
      <w:r>
        <w:rPr>
          <w:rFonts w:ascii="Times New Roman" w:hAnsi="Times New Roman"/>
          <w:i/>
          <w:iCs/>
        </w:rPr>
        <w:t>C</w:t>
      </w:r>
      <w:r>
        <w:rPr>
          <w:rFonts w:ascii="Times New Roman" w:hAnsi="Times New Roman"/>
          <w:i/>
          <w:iCs/>
          <w:vertAlign w:val="subscript"/>
        </w:rPr>
        <w:t>BT</w:t>
      </w:r>
      <w:r>
        <w:rPr>
          <w:rFonts w:ascii="Times New Roman" w:hAnsi="Times New Roman"/>
        </w:rPr>
        <w:t>为根据年平均气温得到的生物量碳密度(g C·m</w:t>
      </w:r>
      <w:r>
        <w:rPr>
          <w:rFonts w:ascii="Times New Roman" w:hAnsi="Times New Roman"/>
          <w:vertAlign w:val="superscript"/>
        </w:rPr>
        <w:t>–2</w:t>
      </w:r>
      <w:r>
        <w:rPr>
          <w:rFonts w:ascii="Times New Roman" w:hAnsi="Times New Roman"/>
        </w:rPr>
        <w:t>)。</w:t>
      </w:r>
    </w:p>
    <w:p w14:paraId="4F0238C9">
      <w:pPr>
        <w:pStyle w:val="14"/>
        <w:spacing w:after="0" w:line="240" w:lineRule="auto"/>
        <w:ind w:firstLine="4200" w:firstLineChars="2000"/>
        <w:rPr>
          <w:rFonts w:hint="default" w:ascii="Times New Roman" w:hAnsi="Times New Roman" w:eastAsia="宋体"/>
          <w:lang w:val="en-US" w:eastAsia="zh-CN"/>
        </w:rPr>
      </w:pPr>
      <w:r>
        <w:rPr>
          <w:position w:val="-122"/>
        </w:rPr>
        <w:object>
          <v:shape id="_x0000_i1033" o:spt="75" type="#_x0000_t75" style="height:127.85pt;width:78.9pt;" o:ole="t" filled="f" o:preferrelative="t" stroked="f" coordsize="21600,21600">
            <v:path/>
            <v:fill on="f" focussize="0,0"/>
            <v:stroke on="f" joinstyle="miter"/>
            <v:imagedata r:id="rId34" o:title=""/>
            <o:lock v:ext="edit" aspectratio="t"/>
            <w10:wrap type="none"/>
            <w10:anchorlock/>
          </v:shape>
          <o:OLEObject Type="Embed" ProgID="Equation.DSMT4" ShapeID="_x0000_i1033" DrawAspect="Content" ObjectID="_1468075733" r:id="rId33">
            <o:LockedField>false</o:LockedField>
          </o:OLEObject>
        </w:object>
      </w:r>
      <w:r>
        <w:t xml:space="preserve">                       </w:t>
      </w:r>
      <w:r>
        <w:rPr>
          <w:rFonts w:hint="eastAsia"/>
          <w:lang w:val="en-US" w:eastAsia="zh-CN"/>
        </w:rPr>
        <w:t xml:space="preserve">      </w:t>
      </w:r>
      <w:r>
        <w:t xml:space="preserve">  </w:t>
      </w:r>
      <w:r>
        <w:rPr>
          <w:rFonts w:hint="default" w:ascii="Times New Roman" w:hAnsi="Times New Roman" w:cs="Times New Roman"/>
          <w:lang w:val="en-US" w:eastAsia="zh-CN"/>
        </w:rPr>
        <w:t>[7]</w:t>
      </w:r>
    </w:p>
    <w:p w14:paraId="23496637">
      <w:pPr>
        <w:pStyle w:val="14"/>
        <w:spacing w:line="240" w:lineRule="auto"/>
        <w:ind w:firstLine="420"/>
        <w:rPr>
          <w:rFonts w:ascii="Times New Roman" w:hAnsi="Times New Roman"/>
        </w:rPr>
      </w:pPr>
      <w:r>
        <w:rPr>
          <w:rFonts w:ascii="Times New Roman" w:hAnsi="Times New Roman"/>
        </w:rPr>
        <w:t>式中，</w:t>
      </w:r>
      <w:r>
        <w:rPr>
          <w:rFonts w:ascii="Times New Roman" w:hAnsi="Times New Roman"/>
          <w:i/>
          <w:iCs/>
        </w:rPr>
        <w:t>K</w:t>
      </w:r>
      <w:r>
        <w:rPr>
          <w:rFonts w:ascii="Times New Roman" w:hAnsi="Times New Roman"/>
          <w:i/>
          <w:iCs/>
          <w:vertAlign w:val="subscript"/>
        </w:rPr>
        <w:t>BP</w:t>
      </w:r>
      <w:r>
        <w:rPr>
          <w:rFonts w:ascii="Times New Roman" w:hAnsi="Times New Roman"/>
        </w:rPr>
        <w:t>、K</w:t>
      </w:r>
      <w:r>
        <w:rPr>
          <w:rFonts w:ascii="Times New Roman" w:hAnsi="Times New Roman"/>
          <w:i/>
          <w:iCs/>
          <w:vertAlign w:val="subscript"/>
        </w:rPr>
        <w:t>BT</w:t>
      </w:r>
      <w:r>
        <w:rPr>
          <w:rFonts w:ascii="Times New Roman" w:hAnsi="Times New Roman"/>
        </w:rPr>
        <w:t>分别为基于降水和气温的生物量碳密度修正系数，</w:t>
      </w:r>
      <w:r>
        <w:rPr>
          <w:rFonts w:ascii="Times New Roman" w:hAnsi="Times New Roman"/>
          <w:i/>
          <w:iCs/>
        </w:rPr>
        <w:t>C'</w:t>
      </w:r>
      <w:r>
        <w:rPr>
          <w:rFonts w:ascii="Times New Roman" w:hAnsi="Times New Roman"/>
          <w:i/>
          <w:iCs/>
          <w:vertAlign w:val="subscript"/>
        </w:rPr>
        <w:t>BP</w:t>
      </w:r>
      <w:r>
        <w:rPr>
          <w:rFonts w:ascii="Times New Roman" w:hAnsi="Times New Roman"/>
        </w:rPr>
        <w:t>和</w:t>
      </w:r>
      <w:r>
        <w:rPr>
          <w:rFonts w:ascii="Times New Roman" w:hAnsi="Times New Roman"/>
          <w:i/>
          <w:iCs/>
        </w:rPr>
        <w:t>C'</w:t>
      </w:r>
      <w:r>
        <w:rPr>
          <w:rFonts w:ascii="Times New Roman" w:hAnsi="Times New Roman"/>
          <w:i/>
          <w:iCs/>
          <w:vertAlign w:val="subscript"/>
        </w:rPr>
        <w:t>BP</w:t>
      </w:r>
      <w:r>
        <w:rPr>
          <w:rFonts w:ascii="Times New Roman" w:hAnsi="Times New Roman"/>
        </w:rPr>
        <w:t>分别为根据年降水量得到的黑龙江省与全国的生物量碳密度(g C·m</w:t>
      </w:r>
      <w:r>
        <w:rPr>
          <w:rFonts w:ascii="Times New Roman" w:hAnsi="Times New Roman"/>
          <w:vertAlign w:val="superscript"/>
        </w:rPr>
        <w:t>–2</w:t>
      </w:r>
      <w:r>
        <w:rPr>
          <w:rFonts w:ascii="Times New Roman" w:hAnsi="Times New Roman"/>
        </w:rPr>
        <w:t>)；</w:t>
      </w:r>
      <w:r>
        <w:rPr>
          <w:rFonts w:ascii="Times New Roman" w:hAnsi="Times New Roman"/>
          <w:i/>
          <w:iCs/>
        </w:rPr>
        <w:t>C'</w:t>
      </w:r>
      <w:r>
        <w:rPr>
          <w:rFonts w:ascii="Times New Roman" w:hAnsi="Times New Roman"/>
          <w:i/>
          <w:iCs/>
          <w:vertAlign w:val="subscript"/>
        </w:rPr>
        <w:t>BT</w:t>
      </w:r>
      <w:r>
        <w:rPr>
          <w:rFonts w:ascii="Times New Roman" w:hAnsi="Times New Roman"/>
        </w:rPr>
        <w:t>和</w:t>
      </w:r>
      <w:r>
        <w:rPr>
          <w:rFonts w:ascii="Times New Roman" w:hAnsi="Times New Roman"/>
          <w:i/>
          <w:iCs/>
        </w:rPr>
        <w:t>C'</w:t>
      </w:r>
      <w:r>
        <w:rPr>
          <w:rFonts w:ascii="Times New Roman" w:hAnsi="Times New Roman"/>
          <w:i/>
          <w:iCs/>
          <w:vertAlign w:val="subscript"/>
        </w:rPr>
        <w:t>BT</w:t>
      </w:r>
      <w:r>
        <w:rPr>
          <w:rFonts w:ascii="Times New Roman" w:hAnsi="Times New Roman"/>
        </w:rPr>
        <w:t>分别为根据年平均气温得到的黑龙江省与全国的生物量碳密度(g C·m</w:t>
      </w:r>
      <w:r>
        <w:rPr>
          <w:rFonts w:ascii="Times New Roman" w:hAnsi="Times New Roman"/>
          <w:vertAlign w:val="superscript"/>
        </w:rPr>
        <w:t>–2</w:t>
      </w:r>
      <w:r>
        <w:rPr>
          <w:rFonts w:ascii="Times New Roman" w:hAnsi="Times New Roman"/>
        </w:rPr>
        <w:t>)；</w:t>
      </w:r>
      <w:r>
        <w:rPr>
          <w:rFonts w:ascii="Times New Roman" w:hAnsi="Times New Roman"/>
          <w:i/>
          <w:iCs/>
        </w:rPr>
        <w:t>K</w:t>
      </w:r>
      <w:r>
        <w:rPr>
          <w:rFonts w:ascii="Times New Roman" w:hAnsi="Times New Roman"/>
          <w:i/>
          <w:iCs/>
          <w:vertAlign w:val="subscript"/>
        </w:rPr>
        <w:t>B</w:t>
      </w:r>
      <w:r>
        <w:rPr>
          <w:rFonts w:ascii="Times New Roman" w:hAnsi="Times New Roman"/>
          <w:i/>
          <w:iCs/>
        </w:rPr>
        <w:t>、K</w:t>
      </w:r>
      <w:r>
        <w:rPr>
          <w:rFonts w:ascii="Times New Roman" w:hAnsi="Times New Roman"/>
          <w:i/>
          <w:iCs/>
          <w:vertAlign w:val="subscript"/>
        </w:rPr>
        <w:t>S</w:t>
      </w:r>
      <w:r>
        <w:rPr>
          <w:rFonts w:ascii="Times New Roman" w:hAnsi="Times New Roman"/>
        </w:rPr>
        <w:t>分别为生物量碳密度修正系数和土壤碳密度修正系数；</w:t>
      </w:r>
      <w:r>
        <w:rPr>
          <w:rFonts w:ascii="Times New Roman" w:hAnsi="Times New Roman"/>
          <w:i/>
          <w:iCs/>
        </w:rPr>
        <w:t>C'</w:t>
      </w:r>
      <w:r>
        <w:rPr>
          <w:rFonts w:ascii="Times New Roman" w:hAnsi="Times New Roman"/>
          <w:i/>
          <w:iCs/>
          <w:vertAlign w:val="subscript"/>
        </w:rPr>
        <w:t>SP</w:t>
      </w:r>
      <w:r>
        <w:rPr>
          <w:rFonts w:ascii="Times New Roman" w:hAnsi="Times New Roman"/>
        </w:rPr>
        <w:t>和</w:t>
      </w:r>
      <w:r>
        <w:rPr>
          <w:rFonts w:ascii="Times New Roman" w:hAnsi="Times New Roman"/>
          <w:i/>
          <w:iCs/>
        </w:rPr>
        <w:t>C'</w:t>
      </w:r>
      <w:r>
        <w:rPr>
          <w:rFonts w:ascii="Times New Roman" w:hAnsi="Times New Roman"/>
          <w:i/>
          <w:iCs/>
          <w:vertAlign w:val="subscript"/>
        </w:rPr>
        <w:t>SP</w:t>
      </w:r>
      <w:r>
        <w:rPr>
          <w:rFonts w:ascii="Times New Roman" w:hAnsi="Times New Roman"/>
        </w:rPr>
        <w:t>分别为根据年平均气温得到的黑龙江省与全国的土壤碳密度(g C·m</w:t>
      </w:r>
      <w:r>
        <w:rPr>
          <w:rFonts w:ascii="Times New Roman" w:hAnsi="Times New Roman"/>
          <w:vertAlign w:val="superscript"/>
        </w:rPr>
        <w:t>–2</w:t>
      </w:r>
      <w:r>
        <w:rPr>
          <w:rFonts w:ascii="Times New Roman" w:hAnsi="Times New Roman"/>
        </w:rPr>
        <w:t>)。使用</w:t>
      </w:r>
      <w:r>
        <w:rPr>
          <w:rFonts w:ascii="Times New Roman" w:hAnsi="Times New Roman"/>
          <w:i/>
          <w:iCs/>
        </w:rPr>
        <w:t>K</w:t>
      </w:r>
      <w:r>
        <w:rPr>
          <w:rFonts w:ascii="Times New Roman" w:hAnsi="Times New Roman"/>
          <w:i/>
          <w:iCs/>
          <w:vertAlign w:val="subscript"/>
        </w:rPr>
        <w:t>B</w:t>
      </w:r>
      <w:r>
        <w:rPr>
          <w:rFonts w:ascii="Times New Roman" w:hAnsi="Times New Roman"/>
        </w:rPr>
        <w:t>修正地上生物碳密度、地下生物碳密度和死亡有机质碳密度,使用</w:t>
      </w:r>
      <w:r>
        <w:rPr>
          <w:rFonts w:ascii="Times New Roman" w:hAnsi="Times New Roman"/>
          <w:i/>
          <w:iCs/>
        </w:rPr>
        <w:t>K</w:t>
      </w:r>
      <w:r>
        <w:rPr>
          <w:rFonts w:ascii="Times New Roman" w:hAnsi="Times New Roman"/>
          <w:i/>
          <w:iCs/>
          <w:vertAlign w:val="subscript"/>
        </w:rPr>
        <w:t>S</w:t>
      </w:r>
      <w:r>
        <w:rPr>
          <w:rFonts w:ascii="Times New Roman" w:hAnsi="Times New Roman"/>
        </w:rPr>
        <w:t>修正土壤碳密度</w:t>
      </w:r>
      <w:r>
        <w:rPr>
          <w:rFonts w:hint="eastAsia" w:ascii="Times New Roman" w:hAnsi="Times New Roman"/>
          <w:vertAlign w:val="superscript"/>
        </w:rPr>
        <w:t>[</w:t>
      </w:r>
      <w:r>
        <w:rPr>
          <w:rFonts w:hint="eastAsia" w:ascii="Times New Roman" w:hAnsi="Times New Roman"/>
          <w:vertAlign w:val="superscript"/>
          <w:lang w:val="en-US" w:eastAsia="zh-CN"/>
        </w:rPr>
        <w:t>10</w:t>
      </w:r>
      <w:r>
        <w:rPr>
          <w:rFonts w:hint="eastAsia" w:ascii="Times New Roman" w:hAnsi="Times New Roman"/>
          <w:vertAlign w:val="superscript"/>
        </w:rPr>
        <w:t>]</w:t>
      </w:r>
      <w:r>
        <w:rPr>
          <w:rFonts w:ascii="Times New Roman" w:hAnsi="Times New Roman"/>
        </w:rPr>
        <w:t>。</w:t>
      </w:r>
    </w:p>
    <w:p w14:paraId="4AFDDD03">
      <w:pPr>
        <w:pStyle w:val="108"/>
        <w:spacing w:before="240" w:after="240"/>
        <w:rPr>
          <w:rFonts w:ascii="Times New Roman"/>
        </w:rPr>
      </w:pPr>
      <w:bookmarkStart w:id="115" w:name="_Toc5334"/>
      <w:r>
        <w:rPr>
          <w:rFonts w:ascii="Times New Roman"/>
        </w:rPr>
        <w:t>数据验证</w:t>
      </w:r>
      <w:bookmarkEnd w:id="115"/>
    </w:p>
    <w:p w14:paraId="081499D4">
      <w:pPr>
        <w:pStyle w:val="14"/>
        <w:spacing w:line="240" w:lineRule="auto"/>
        <w:ind w:firstLine="420"/>
        <w:rPr>
          <w:rFonts w:ascii="Times New Roman" w:hAnsi="Times New Roman"/>
        </w:rPr>
      </w:pPr>
      <w:r>
        <w:rPr>
          <w:rFonts w:ascii="Times New Roman" w:hAnsi="Times New Roman"/>
        </w:rPr>
        <w:t>利用模拟值与样地真实值进行精度验证。采用决定系数（R</w:t>
      </w:r>
      <w:r>
        <w:rPr>
          <w:rFonts w:ascii="Times New Roman" w:hAnsi="Times New Roman"/>
          <w:vertAlign w:val="superscript"/>
        </w:rPr>
        <w:t>2</w:t>
      </w:r>
      <w:r>
        <w:rPr>
          <w:rFonts w:ascii="Times New Roman" w:hAnsi="Times New Roman"/>
        </w:rPr>
        <w:t>）、均方根误差（RMSE）、相对均方根误差（rRMSE）指标来评估模型。</w:t>
      </w:r>
    </w:p>
    <w:p w14:paraId="195E1669">
      <w:pPr>
        <w:pStyle w:val="14"/>
        <w:spacing w:line="240" w:lineRule="auto"/>
        <w:jc w:val="right"/>
        <w:rPr>
          <w:rFonts w:hint="default" w:ascii="Times New Roman" w:hAnsi="Times New Roman" w:eastAsia="宋体"/>
          <w:sz w:val="21"/>
          <w:szCs w:val="21"/>
          <w:lang w:val="en-US" w:eastAsia="zh-CN"/>
        </w:rPr>
      </w:pPr>
      <w:r>
        <w:rPr>
          <w:rFonts w:ascii="Times New Roman" w:hAnsi="Times New Roman"/>
          <w:sz w:val="24"/>
        </w:rPr>
        <w:t xml:space="preserve">    </w:t>
      </w:r>
      <w:r>
        <w:rPr>
          <w:rFonts w:ascii="Times New Roman" w:hAnsi="Times New Roman"/>
          <w:sz w:val="21"/>
          <w:szCs w:val="21"/>
        </w:rPr>
        <w:t xml:space="preserve">      </w:t>
      </w:r>
      <m:oMath>
        <m:sSup>
          <m:sSupPr>
            <m:ctrlPr>
              <w:rPr>
                <w:rFonts w:ascii="Cambria Math" w:hAnsi="Cambria Math"/>
                <w:i/>
                <w:sz w:val="21"/>
                <w:szCs w:val="21"/>
              </w:rPr>
            </m:ctrlPr>
          </m:sSupPr>
          <m:e>
            <m:r>
              <m:rPr/>
              <w:rPr>
                <w:rFonts w:ascii="Cambria Math" w:hAnsi="Cambria Math"/>
                <w:sz w:val="21"/>
                <w:szCs w:val="21"/>
              </w:rPr>
              <m:t>R</m:t>
            </m:r>
            <m:ctrlPr>
              <w:rPr>
                <w:rFonts w:ascii="Cambria Math" w:hAnsi="Cambria Math"/>
                <w:i/>
                <w:sz w:val="21"/>
                <w:szCs w:val="21"/>
              </w:rPr>
            </m:ctrlPr>
          </m:e>
          <m:sup>
            <m:r>
              <m:rPr/>
              <w:rPr>
                <w:rFonts w:ascii="Cambria Math" w:hAnsi="Cambria Math"/>
                <w:sz w:val="21"/>
                <w:szCs w:val="21"/>
              </w:rPr>
              <m:t>2</m:t>
            </m:r>
            <m:ctrlPr>
              <w:rPr>
                <w:rFonts w:ascii="Cambria Math" w:hAnsi="Cambria Math"/>
                <w:i/>
                <w:sz w:val="21"/>
                <w:szCs w:val="21"/>
              </w:rPr>
            </m:ctrlPr>
          </m:sup>
        </m:sSup>
        <m:r>
          <m:rPr/>
          <w:rPr>
            <w:rFonts w:ascii="Cambria Math" w:hAnsi="Cambria Math"/>
            <w:sz w:val="21"/>
            <w:szCs w:val="21"/>
          </w:rPr>
          <m:t>=1−</m:t>
        </m:r>
        <m:f>
          <m:fPr>
            <m:ctrlPr>
              <w:rPr>
                <w:rFonts w:ascii="Cambria Math" w:hAnsi="Cambria Math"/>
                <w:i/>
                <w:sz w:val="21"/>
                <w:szCs w:val="21"/>
              </w:rPr>
            </m:ctrlPr>
          </m:fPr>
          <m:num>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n</m:t>
                </m:r>
                <m:ctrlPr>
                  <w:rPr>
                    <w:rFonts w:ascii="Cambria Math" w:hAnsi="Cambria Math"/>
                    <w:i/>
                    <w:sz w:val="21"/>
                    <w:szCs w:val="21"/>
                  </w:rPr>
                </m:ctrlPr>
              </m:sup>
              <m:e>
                <m:sSup>
                  <m:sSupPr>
                    <m:ctrlPr>
                      <w:rPr>
                        <w:rFonts w:ascii="Cambria Math" w:hAnsi="Cambria Math"/>
                        <w:i/>
                        <w:sz w:val="21"/>
                        <w:szCs w:val="21"/>
                      </w:rPr>
                    </m:ctrlPr>
                  </m:sSupPr>
                  <m:e>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y</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acc>
                              <m:accPr>
                                <m:ctrlPr>
                                  <w:rPr>
                                    <w:rFonts w:ascii="Cambria Math" w:hAnsi="Cambria Math"/>
                                    <w:i/>
                                    <w:sz w:val="21"/>
                                    <w:szCs w:val="21"/>
                                  </w:rPr>
                                </m:ctrlPr>
                              </m:accPr>
                              <m:e>
                                <m:r>
                                  <m:rPr/>
                                  <w:rPr>
                                    <w:rFonts w:ascii="Cambria Math" w:hAnsi="Cambria Math"/>
                                    <w:sz w:val="21"/>
                                    <w:szCs w:val="21"/>
                                  </w:rPr>
                                  <m:t>y</m:t>
                                </m:r>
                                <m:ctrlPr>
                                  <w:rPr>
                                    <w:rFonts w:ascii="Cambria Math" w:hAnsi="Cambria Math"/>
                                    <w:i/>
                                    <w:sz w:val="21"/>
                                    <w:szCs w:val="21"/>
                                  </w:rPr>
                                </m:ctrlPr>
                              </m:e>
                            </m:acc>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d>
                    <m:ctrlPr>
                      <w:rPr>
                        <w:rFonts w:ascii="Cambria Math" w:hAnsi="Cambria Math"/>
                        <w:i/>
                        <w:sz w:val="21"/>
                        <w:szCs w:val="21"/>
                      </w:rPr>
                    </m:ctrlPr>
                  </m:e>
                  <m:sup>
                    <m:r>
                      <m:rPr/>
                      <w:rPr>
                        <w:rFonts w:ascii="Cambria Math" w:hAnsi="Cambria Math"/>
                        <w:sz w:val="21"/>
                        <w:szCs w:val="21"/>
                      </w:rPr>
                      <m:t>2</m:t>
                    </m:r>
                    <m:ctrlPr>
                      <w:rPr>
                        <w:rFonts w:ascii="Cambria Math" w:hAnsi="Cambria Math"/>
                        <w:i/>
                        <w:sz w:val="21"/>
                        <w:szCs w:val="21"/>
                      </w:rPr>
                    </m:ctrlPr>
                  </m:sup>
                </m:sSup>
                <m:ctrlPr>
                  <w:rPr>
                    <w:rFonts w:ascii="Cambria Math" w:hAnsi="Cambria Math"/>
                    <w:i/>
                    <w:sz w:val="21"/>
                    <w:szCs w:val="21"/>
                  </w:rPr>
                </m:ctrlPr>
              </m:e>
            </m:nary>
            <m:ctrlPr>
              <w:rPr>
                <w:rFonts w:ascii="Cambria Math" w:hAnsi="Cambria Math"/>
                <w:i/>
                <w:sz w:val="21"/>
                <w:szCs w:val="21"/>
              </w:rPr>
            </m:ctrlPr>
          </m:num>
          <m:den>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n</m:t>
                </m:r>
                <m:ctrlPr>
                  <w:rPr>
                    <w:rFonts w:ascii="Cambria Math" w:hAnsi="Cambria Math"/>
                    <w:i/>
                    <w:sz w:val="21"/>
                    <w:szCs w:val="21"/>
                  </w:rPr>
                </m:ctrlPr>
              </m:sup>
              <m:e>
                <m:sSup>
                  <m:sSupPr>
                    <m:ctrlPr>
                      <w:rPr>
                        <w:rFonts w:ascii="Cambria Math" w:hAnsi="Cambria Math"/>
                        <w:i/>
                        <w:sz w:val="21"/>
                        <w:szCs w:val="21"/>
                      </w:rPr>
                    </m:ctrlPr>
                  </m:sSupPr>
                  <m:e>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y</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acc>
                              <m:accPr>
                                <m:chr m:val="̅"/>
                                <m:ctrlPr>
                                  <w:rPr>
                                    <w:rFonts w:ascii="Cambria Math" w:hAnsi="Cambria Math"/>
                                    <w:i/>
                                    <w:sz w:val="21"/>
                                    <w:szCs w:val="21"/>
                                  </w:rPr>
                                </m:ctrlPr>
                              </m:accPr>
                              <m:e>
                                <m:r>
                                  <m:rPr/>
                                  <w:rPr>
                                    <w:rFonts w:ascii="Cambria Math" w:hAnsi="Cambria Math"/>
                                    <w:sz w:val="21"/>
                                    <w:szCs w:val="21"/>
                                  </w:rPr>
                                  <m:t>y</m:t>
                                </m:r>
                                <m:ctrlPr>
                                  <w:rPr>
                                    <w:rFonts w:ascii="Cambria Math" w:hAnsi="Cambria Math"/>
                                    <w:i/>
                                    <w:sz w:val="21"/>
                                    <w:szCs w:val="21"/>
                                  </w:rPr>
                                </m:ctrlPr>
                              </m:e>
                            </m:acc>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d>
                    <m:ctrlPr>
                      <w:rPr>
                        <w:rFonts w:ascii="Cambria Math" w:hAnsi="Cambria Math"/>
                        <w:i/>
                        <w:sz w:val="21"/>
                        <w:szCs w:val="21"/>
                      </w:rPr>
                    </m:ctrlPr>
                  </m:e>
                  <m:sup>
                    <m:r>
                      <m:rPr/>
                      <w:rPr>
                        <w:rFonts w:ascii="Cambria Math" w:hAnsi="Cambria Math"/>
                        <w:sz w:val="21"/>
                        <w:szCs w:val="21"/>
                      </w:rPr>
                      <m:t>2</m:t>
                    </m:r>
                    <m:ctrlPr>
                      <w:rPr>
                        <w:rFonts w:ascii="Cambria Math" w:hAnsi="Cambria Math"/>
                        <w:i/>
                        <w:sz w:val="21"/>
                        <w:szCs w:val="21"/>
                      </w:rPr>
                    </m:ctrlPr>
                  </m:sup>
                </m:sSup>
                <m:ctrlPr>
                  <w:rPr>
                    <w:rFonts w:ascii="Cambria Math" w:hAnsi="Cambria Math"/>
                    <w:i/>
                    <w:sz w:val="21"/>
                    <w:szCs w:val="21"/>
                  </w:rPr>
                </m:ctrlPr>
              </m:e>
            </m:nary>
            <m:ctrlPr>
              <w:rPr>
                <w:rFonts w:ascii="Cambria Math" w:hAnsi="Cambria Math"/>
                <w:i/>
                <w:sz w:val="21"/>
                <w:szCs w:val="21"/>
              </w:rPr>
            </m:ctrlPr>
          </m:den>
        </m:f>
      </m:oMath>
      <w:r>
        <w:rPr>
          <w:rFonts w:ascii="Times New Roman" w:hAnsi="Times New Roman"/>
          <w:sz w:val="21"/>
          <w:szCs w:val="21"/>
        </w:rPr>
        <w:t xml:space="preserve">                 </w:t>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[8]</w:t>
      </w:r>
    </w:p>
    <w:p w14:paraId="498E7D0E">
      <w:pPr>
        <w:pStyle w:val="14"/>
        <w:spacing w:line="240" w:lineRule="auto"/>
        <w:jc w:val="right"/>
        <w:rPr>
          <w:rFonts w:hint="default" w:ascii="Times New Roman" w:hAnsi="Times New Roman" w:eastAsia="宋体"/>
          <w:sz w:val="21"/>
          <w:szCs w:val="21"/>
          <w:lang w:val="en-US" w:eastAsia="zh-CN"/>
        </w:rPr>
      </w:pPr>
      <w:r>
        <w:rPr>
          <w:rFonts w:ascii="Times New Roman" w:hAnsi="Times New Roman"/>
          <w:sz w:val="21"/>
          <w:szCs w:val="21"/>
        </w:rPr>
        <w:t xml:space="preserve">       </w:t>
      </w:r>
      <m:oMath>
        <m:r>
          <m:rPr/>
          <w:rPr>
            <w:rFonts w:ascii="Cambria Math" w:hAnsi="Cambria Math"/>
            <w:sz w:val="21"/>
            <w:szCs w:val="21"/>
          </w:rPr>
          <m:t>RMSE=</m:t>
        </m:r>
        <m:rad>
          <m:radPr>
            <m:degHide m:val="1"/>
            <m:ctrlPr>
              <w:rPr>
                <w:rFonts w:ascii="Cambria Math" w:hAnsi="Cambria Math"/>
                <w:i/>
                <w:sz w:val="21"/>
                <w:szCs w:val="21"/>
              </w:rPr>
            </m:ctrlPr>
          </m:radPr>
          <m:deg>
            <m:ctrlPr>
              <w:rPr>
                <w:rFonts w:ascii="Cambria Math" w:hAnsi="Cambria Math"/>
                <w:i/>
                <w:sz w:val="21"/>
                <w:szCs w:val="21"/>
              </w:rPr>
            </m:ctrlPr>
          </m:deg>
          <m:e>
            <m:f>
              <m:fPr>
                <m:ctrlPr>
                  <w:rPr>
                    <w:rFonts w:ascii="Cambria Math" w:hAnsi="Cambria Math"/>
                    <w:i/>
                    <w:sz w:val="21"/>
                    <w:szCs w:val="21"/>
                  </w:rPr>
                </m:ctrlPr>
              </m:fPr>
              <m:num>
                <m:r>
                  <m:rPr/>
                  <w:rPr>
                    <w:rFonts w:ascii="Cambria Math" w:hAnsi="Cambria Math"/>
                    <w:sz w:val="21"/>
                    <w:szCs w:val="21"/>
                  </w:rPr>
                  <m:t>1</m:t>
                </m:r>
                <m:ctrlPr>
                  <w:rPr>
                    <w:rFonts w:ascii="Cambria Math" w:hAnsi="Cambria Math"/>
                    <w:i/>
                    <w:sz w:val="21"/>
                    <w:szCs w:val="21"/>
                  </w:rPr>
                </m:ctrlPr>
              </m:num>
              <m:den>
                <m:r>
                  <m:rPr/>
                  <w:rPr>
                    <w:rFonts w:ascii="Cambria Math" w:hAnsi="Cambria Math"/>
                    <w:sz w:val="21"/>
                    <w:szCs w:val="21"/>
                  </w:rPr>
                  <m:t>n</m:t>
                </m:r>
                <m:ctrlPr>
                  <w:rPr>
                    <w:rFonts w:ascii="Cambria Math" w:hAnsi="Cambria Math"/>
                    <w:i/>
                    <w:sz w:val="21"/>
                    <w:szCs w:val="21"/>
                  </w:rPr>
                </m:ctrlPr>
              </m:den>
            </m:f>
            <m:nary>
              <m:naryPr>
                <m:chr m:val="∑"/>
                <m:limLoc m:val="undOvr"/>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n</m:t>
                </m:r>
                <m:ctrlPr>
                  <w:rPr>
                    <w:rFonts w:ascii="Cambria Math" w:hAnsi="Cambria Math"/>
                    <w:i/>
                    <w:sz w:val="21"/>
                    <w:szCs w:val="21"/>
                  </w:rPr>
                </m:ctrlPr>
              </m:sup>
              <m:e>
                <m:sSup>
                  <m:sSupPr>
                    <m:ctrlPr>
                      <w:rPr>
                        <w:rFonts w:ascii="Cambria Math" w:hAnsi="Cambria Math"/>
                        <w:i/>
                        <w:sz w:val="21"/>
                        <w:szCs w:val="21"/>
                      </w:rPr>
                    </m:ctrlPr>
                  </m:sSupPr>
                  <m:e>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y</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acc>
                          <m:accPr>
                            <m:ctrlPr>
                              <w:rPr>
                                <w:rFonts w:ascii="Cambria Math" w:hAnsi="Cambria Math"/>
                                <w:i/>
                                <w:sz w:val="21"/>
                                <w:szCs w:val="21"/>
                              </w:rPr>
                            </m:ctrlPr>
                          </m:accPr>
                          <m:e>
                            <m:r>
                              <m:rPr/>
                              <w:rPr>
                                <w:rFonts w:ascii="Cambria Math" w:hAnsi="Cambria Math"/>
                                <w:sz w:val="21"/>
                                <w:szCs w:val="21"/>
                              </w:rPr>
                              <m:t>y</m:t>
                            </m:r>
                            <m:ctrlPr>
                              <w:rPr>
                                <w:rFonts w:ascii="Cambria Math" w:hAnsi="Cambria Math"/>
                                <w:i/>
                                <w:sz w:val="21"/>
                                <w:szCs w:val="21"/>
                              </w:rPr>
                            </m:ctrlPr>
                          </m:e>
                        </m:acc>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r>
                      <m:rPr/>
                      <w:rPr>
                        <w:rFonts w:ascii="Cambria Math" w:hAnsi="Cambria Math"/>
                        <w:sz w:val="21"/>
                        <w:szCs w:val="21"/>
                      </w:rPr>
                      <m:t>)</m:t>
                    </m:r>
                    <m:ctrlPr>
                      <w:rPr>
                        <w:rFonts w:ascii="Cambria Math" w:hAnsi="Cambria Math"/>
                        <w:i/>
                        <w:sz w:val="21"/>
                        <w:szCs w:val="21"/>
                      </w:rPr>
                    </m:ctrlPr>
                  </m:e>
                  <m:sup>
                    <m:r>
                      <m:rPr/>
                      <w:rPr>
                        <w:rFonts w:ascii="Cambria Math" w:hAnsi="Cambria Math"/>
                        <w:sz w:val="21"/>
                        <w:szCs w:val="21"/>
                      </w:rPr>
                      <m:t>2</m:t>
                    </m:r>
                    <m:ctrlPr>
                      <w:rPr>
                        <w:rFonts w:ascii="Cambria Math" w:hAnsi="Cambria Math"/>
                        <w:i/>
                        <w:sz w:val="21"/>
                        <w:szCs w:val="21"/>
                      </w:rPr>
                    </m:ctrlPr>
                  </m:sup>
                </m:sSup>
                <m:ctrlPr>
                  <w:rPr>
                    <w:rFonts w:ascii="Cambria Math" w:hAnsi="Cambria Math"/>
                    <w:i/>
                    <w:sz w:val="21"/>
                    <w:szCs w:val="21"/>
                  </w:rPr>
                </m:ctrlPr>
              </m:e>
            </m:nary>
            <m:ctrlPr>
              <w:rPr>
                <w:rFonts w:ascii="Cambria Math" w:hAnsi="Cambria Math"/>
                <w:i/>
                <w:sz w:val="21"/>
                <w:szCs w:val="21"/>
              </w:rPr>
            </m:ctrlPr>
          </m:e>
        </m:rad>
      </m:oMath>
      <w:r>
        <w:rPr>
          <w:rFonts w:ascii="Times New Roman" w:hAnsi="Times New Roman"/>
          <w:sz w:val="21"/>
          <w:szCs w:val="21"/>
        </w:rPr>
        <w:t xml:space="preserve">              </w:t>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[9]</w:t>
      </w:r>
    </w:p>
    <w:p w14:paraId="7A6063CA">
      <w:pPr>
        <w:pStyle w:val="14"/>
        <w:spacing w:line="240" w:lineRule="auto"/>
        <w:jc w:val="right"/>
        <w:rPr>
          <w:rFonts w:hint="default" w:ascii="Times New Roman" w:hAnsi="Times New Roman" w:eastAsia="宋体"/>
          <w:sz w:val="21"/>
          <w:szCs w:val="21"/>
          <w:lang w:val="en-US" w:eastAsia="zh-CN"/>
        </w:rPr>
      </w:pPr>
      <w:r>
        <w:rPr>
          <w:rFonts w:ascii="Times New Roman" w:hAnsi="Times New Roman"/>
          <w:sz w:val="21"/>
          <w:szCs w:val="21"/>
        </w:rPr>
        <w:t xml:space="preserve">         </w:t>
      </w:r>
      <m:oMath>
        <m:r>
          <m:rPr/>
          <w:rPr>
            <w:rFonts w:ascii="Cambria Math" w:hAnsi="Cambria Math"/>
            <w:sz w:val="21"/>
            <w:szCs w:val="21"/>
          </w:rPr>
          <m:t>rRMSE=</m:t>
        </m:r>
        <m:f>
          <m:fPr>
            <m:ctrlPr>
              <w:rPr>
                <w:rFonts w:ascii="Cambria Math" w:hAnsi="Cambria Math"/>
                <w:i/>
                <w:sz w:val="21"/>
                <w:szCs w:val="21"/>
              </w:rPr>
            </m:ctrlPr>
          </m:fPr>
          <m:num>
            <m:r>
              <m:rPr/>
              <w:rPr>
                <w:rFonts w:ascii="Cambria Math" w:hAnsi="Cambria Math"/>
                <w:sz w:val="21"/>
                <w:szCs w:val="21"/>
              </w:rPr>
              <m:t>RMSE</m:t>
            </m:r>
            <m:ctrlPr>
              <w:rPr>
                <w:rFonts w:ascii="Cambria Math" w:hAnsi="Cambria Math"/>
                <w:i/>
                <w:sz w:val="21"/>
                <w:szCs w:val="21"/>
              </w:rPr>
            </m:ctrlPr>
          </m:num>
          <m:den>
            <m:sSub>
              <m:sSubPr>
                <m:ctrlPr>
                  <w:rPr>
                    <w:rFonts w:ascii="Cambria Math" w:hAnsi="Cambria Math"/>
                    <w:i/>
                    <w:sz w:val="21"/>
                    <w:szCs w:val="21"/>
                  </w:rPr>
                </m:ctrlPr>
              </m:sSubPr>
              <m:e>
                <m:acc>
                  <m:accPr>
                    <m:chr m:val="̅"/>
                    <m:ctrlPr>
                      <w:rPr>
                        <w:rFonts w:ascii="Cambria Math" w:hAnsi="Cambria Math"/>
                        <w:i/>
                        <w:sz w:val="21"/>
                        <w:szCs w:val="21"/>
                      </w:rPr>
                    </m:ctrlPr>
                  </m:accPr>
                  <m:e>
                    <m:r>
                      <m:rPr/>
                      <w:rPr>
                        <w:rFonts w:ascii="Cambria Math" w:hAnsi="Cambria Math"/>
                        <w:sz w:val="21"/>
                        <w:szCs w:val="21"/>
                      </w:rPr>
                      <m:t>y</m:t>
                    </m:r>
                    <m:ctrlPr>
                      <w:rPr>
                        <w:rFonts w:ascii="Cambria Math" w:hAnsi="Cambria Math"/>
                        <w:i/>
                        <w:sz w:val="21"/>
                        <w:szCs w:val="21"/>
                      </w:rPr>
                    </m:ctrlPr>
                  </m:e>
                </m:acc>
                <m:ctrlPr>
                  <w:rPr>
                    <w:rFonts w:ascii="Cambria Math" w:hAnsi="Cambria Math"/>
                    <w:i/>
                    <w:sz w:val="21"/>
                    <w:szCs w:val="21"/>
                  </w:rPr>
                </m:ctrlPr>
              </m:e>
              <m:sub>
                <m:r>
                  <m:rPr/>
                  <w:rPr>
                    <w:rFonts w:ascii="Cambria Math" w:hAnsi="Cambria Math"/>
                    <w:sz w:val="21"/>
                    <w:szCs w:val="21"/>
                  </w:rPr>
                  <m:t xml:space="preserve"> </m:t>
                </m:r>
                <m:ctrlPr>
                  <w:rPr>
                    <w:rFonts w:ascii="Cambria Math" w:hAnsi="Cambria Math"/>
                    <w:i/>
                    <w:sz w:val="21"/>
                    <w:szCs w:val="21"/>
                  </w:rPr>
                </m:ctrlPr>
              </m:sub>
            </m:sSub>
            <m:ctrlPr>
              <w:rPr>
                <w:rFonts w:ascii="Cambria Math" w:hAnsi="Cambria Math"/>
                <w:i/>
                <w:sz w:val="21"/>
                <w:szCs w:val="21"/>
              </w:rPr>
            </m:ctrlPr>
          </m:den>
        </m:f>
        <m:r>
          <m:rPr/>
          <w:rPr>
            <w:rFonts w:ascii="Cambria Math" w:hAnsi="Cambria Math"/>
            <w:sz w:val="21"/>
            <w:szCs w:val="21"/>
          </w:rPr>
          <m:t>×100%</m:t>
        </m:r>
      </m:oMath>
      <w:r>
        <w:rPr>
          <w:rFonts w:ascii="Times New Roman" w:hAnsi="Times New Roman"/>
          <w:sz w:val="21"/>
          <w:szCs w:val="21"/>
        </w:rPr>
        <w:t xml:space="preserve">               </w:t>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[10]</w:t>
      </w:r>
    </w:p>
    <w:p w14:paraId="5EE13730">
      <w:pPr>
        <w:pStyle w:val="14"/>
        <w:ind w:firstLine="420"/>
        <w:rPr>
          <w:rFonts w:ascii="Times New Roman" w:hAnsi="Times New Roman"/>
        </w:rPr>
      </w:pPr>
      <w:r>
        <w:rPr>
          <w:rFonts w:ascii="Times New Roman" w:hAnsi="Times New Roman"/>
        </w:rPr>
        <w:t>式中：</w:t>
      </w:r>
      <m:oMath>
        <m:sSub>
          <m:sSubPr>
            <m:ctrlPr>
              <w:rPr>
                <w:rFonts w:ascii="Cambria Math" w:hAnsi="Cambria Math"/>
                <w:i/>
                <w:sz w:val="24"/>
              </w:rPr>
            </m:ctrlPr>
          </m:sSubPr>
          <m:e>
            <m:r>
              <m:rPr/>
              <w:rPr>
                <w:rFonts w:ascii="Cambria Math" w:hAnsi="Cambria Math"/>
                <w:sz w:val="24"/>
              </w:rPr>
              <m:t>y</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ascii="Times New Roman" w:hAnsi="Times New Roman"/>
        </w:rPr>
        <w:t>为或参数实测值；</w:t>
      </w:r>
      <m:oMath>
        <m:sSub>
          <m:sSubPr>
            <m:ctrlPr>
              <w:rPr>
                <w:rFonts w:ascii="Cambria Math" w:hAnsi="Cambria Math"/>
                <w:i/>
                <w:sz w:val="24"/>
              </w:rPr>
            </m:ctrlPr>
          </m:sSubPr>
          <m:e>
            <m:acc>
              <m:accPr>
                <m:chr m:val="̅"/>
                <m:ctrlPr>
                  <w:rPr>
                    <w:rFonts w:ascii="Cambria Math" w:hAnsi="Cambria Math"/>
                    <w:i/>
                    <w:sz w:val="24"/>
                  </w:rPr>
                </m:ctrlPr>
              </m:accPr>
              <m:e>
                <m:r>
                  <m:rPr/>
                  <w:rPr>
                    <w:rFonts w:ascii="Cambria Math" w:hAnsi="Cambria Math"/>
                    <w:sz w:val="24"/>
                  </w:rPr>
                  <m:t>y</m:t>
                </m:r>
                <m:ctrlPr>
                  <w:rPr>
                    <w:rFonts w:ascii="Cambria Math" w:hAnsi="Cambria Math"/>
                    <w:i/>
                    <w:sz w:val="24"/>
                  </w:rPr>
                </m:ctrlPr>
              </m:e>
            </m:acc>
            <m:ctrlPr>
              <w:rPr>
                <w:rFonts w:ascii="Cambria Math" w:hAnsi="Cambria Math"/>
                <w:i/>
                <w:sz w:val="24"/>
              </w:rPr>
            </m:ctrlPr>
          </m:e>
          <m:sub>
            <m:r>
              <m:rPr/>
              <w:rPr>
                <w:rFonts w:ascii="Cambria Math" w:hAnsi="Cambria Math"/>
                <w:sz w:val="24"/>
              </w:rPr>
              <m:t xml:space="preserve"> </m:t>
            </m:r>
            <m:ctrlPr>
              <w:rPr>
                <w:rFonts w:ascii="Cambria Math" w:hAnsi="Cambria Math"/>
                <w:i/>
                <w:sz w:val="24"/>
              </w:rPr>
            </m:ctrlPr>
          </m:sub>
        </m:sSub>
      </m:oMath>
      <w:r>
        <w:rPr>
          <w:rFonts w:ascii="Times New Roman" w:hAnsi="Times New Roman"/>
        </w:rPr>
        <w:t>为参数实测的平均值；</w:t>
      </w:r>
      <m:oMath>
        <m:sSub>
          <m:sSubPr>
            <m:ctrlPr>
              <w:rPr>
                <w:rFonts w:ascii="Cambria Math" w:hAnsi="Cambria Math"/>
                <w:i/>
                <w:sz w:val="24"/>
              </w:rPr>
            </m:ctrlPr>
          </m:sSubPr>
          <m:e>
            <m:acc>
              <m:accPr>
                <m:ctrlPr>
                  <w:rPr>
                    <w:rFonts w:ascii="Cambria Math" w:hAnsi="Cambria Math"/>
                    <w:i/>
                    <w:sz w:val="24"/>
                  </w:rPr>
                </m:ctrlPr>
              </m:accPr>
              <m:e>
                <m:r>
                  <m:rPr/>
                  <w:rPr>
                    <w:rFonts w:ascii="Cambria Math" w:hAnsi="Cambria Math"/>
                    <w:sz w:val="24"/>
                  </w:rPr>
                  <m:t>y</m:t>
                </m:r>
                <m:ctrlPr>
                  <w:rPr>
                    <w:rFonts w:ascii="Cambria Math" w:hAnsi="Cambria Math"/>
                    <w:i/>
                    <w:sz w:val="24"/>
                  </w:rPr>
                </m:ctrlPr>
              </m:e>
            </m:acc>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ascii="Times New Roman" w:hAnsi="Times New Roman"/>
        </w:rPr>
        <w:t>为参数估计值；</w:t>
      </w:r>
      <m:oMath>
        <m:r>
          <m:rPr/>
          <w:rPr>
            <w:rFonts w:ascii="Cambria Math" w:hAnsi="Cambria Math"/>
            <w:sz w:val="24"/>
          </w:rPr>
          <m:t>n</m:t>
        </m:r>
      </m:oMath>
      <w:r>
        <w:rPr>
          <w:rFonts w:ascii="Times New Roman" w:hAnsi="Times New Roman"/>
        </w:rPr>
        <w:t>为样地数。</w:t>
      </w:r>
    </w:p>
    <w:p w14:paraId="010F218E">
      <w:pPr>
        <w:pStyle w:val="108"/>
        <w:spacing w:before="240" w:after="240"/>
        <w:rPr>
          <w:rFonts w:ascii="Times New Roman"/>
        </w:rPr>
      </w:pPr>
      <w:bookmarkStart w:id="116" w:name="_Toc26468"/>
      <w:r>
        <w:rPr>
          <w:rFonts w:ascii="Times New Roman"/>
        </w:rPr>
        <w:t>参考文献</w:t>
      </w:r>
      <w:bookmarkEnd w:id="116"/>
    </w:p>
    <w:p w14:paraId="3C86F464">
      <w:pPr>
        <w:pStyle w:val="14"/>
        <w:numPr>
          <w:ilvl w:val="0"/>
          <w:numId w:val="32"/>
        </w:numPr>
        <w:adjustRightInd/>
        <w:spacing w:after="0" w:line="240" w:lineRule="auto"/>
        <w:ind w:firstLine="420" w:firstLineChars="200"/>
        <w:rPr>
          <w:rFonts w:ascii="Times New Roman" w:hAnsi="Times New Roman"/>
        </w:rPr>
      </w:pPr>
      <w:r>
        <w:rPr>
          <w:rFonts w:ascii="Times New Roman" w:hAnsi="Times New Roman"/>
        </w:rPr>
        <w:t>LY/T 3253-2021 林业碳汇计量监测术语</w:t>
      </w:r>
    </w:p>
    <w:p w14:paraId="205A75D3">
      <w:pPr>
        <w:pStyle w:val="14"/>
        <w:numPr>
          <w:ilvl w:val="0"/>
          <w:numId w:val="32"/>
        </w:numPr>
        <w:adjustRightInd/>
        <w:spacing w:after="0" w:line="240" w:lineRule="auto"/>
        <w:ind w:firstLine="420" w:firstLineChars="200"/>
        <w:rPr>
          <w:rFonts w:ascii="Times New Roman" w:hAnsi="Times New Roman"/>
        </w:rPr>
      </w:pPr>
      <w:r>
        <w:rPr>
          <w:rFonts w:ascii="Times New Roman" w:hAnsi="Times New Roman"/>
        </w:rPr>
        <w:t>GB/T 46105</w:t>
      </w:r>
      <w:r>
        <w:rPr>
          <w:rFonts w:ascii="Times New Roman" w:hAnsi="Times New Roman" w:eastAsia="MS Gothic"/>
        </w:rPr>
        <w:t>‑</w:t>
      </w:r>
      <w:r>
        <w:rPr>
          <w:rFonts w:ascii="Times New Roman" w:hAnsi="Times New Roman"/>
        </w:rPr>
        <w:t>2025 陆地生态系统碳汇核算指南</w:t>
      </w:r>
    </w:p>
    <w:p w14:paraId="4966E842">
      <w:pPr>
        <w:pStyle w:val="14"/>
        <w:numPr>
          <w:ilvl w:val="0"/>
          <w:numId w:val="32"/>
        </w:numPr>
        <w:adjustRightInd/>
        <w:spacing w:after="0" w:line="240" w:lineRule="auto"/>
        <w:ind w:firstLine="420" w:firstLineChars="200"/>
        <w:rPr>
          <w:rFonts w:ascii="Times New Roman" w:hAnsi="Times New Roman"/>
        </w:rPr>
      </w:pPr>
      <w:r>
        <w:rPr>
          <w:rFonts w:ascii="Times New Roman" w:hAnsi="Times New Roman"/>
        </w:rPr>
        <w:t>GB/T 43647</w:t>
      </w:r>
      <w:r>
        <w:rPr>
          <w:rFonts w:ascii="Times New Roman" w:hAnsi="Times New Roman" w:eastAsia="MS Gothic"/>
        </w:rPr>
        <w:t>‑</w:t>
      </w:r>
      <w:r>
        <w:rPr>
          <w:rFonts w:ascii="Times New Roman" w:hAnsi="Times New Roman"/>
        </w:rPr>
        <w:t>2024 中国森林认证 森林碳汇</w:t>
      </w:r>
    </w:p>
    <w:p w14:paraId="0BE90632">
      <w:pPr>
        <w:pStyle w:val="14"/>
        <w:numPr>
          <w:ilvl w:val="0"/>
          <w:numId w:val="32"/>
        </w:numPr>
        <w:adjustRightInd/>
        <w:spacing w:after="0" w:line="240" w:lineRule="auto"/>
        <w:ind w:firstLine="420" w:firstLineChars="200"/>
        <w:rPr>
          <w:rFonts w:ascii="Times New Roman" w:hAnsi="Times New Roman"/>
        </w:rPr>
      </w:pPr>
      <w:r>
        <w:rPr>
          <w:rFonts w:ascii="Times New Roman" w:hAnsi="Times New Roman"/>
        </w:rPr>
        <w:t>GB/T 41198</w:t>
      </w:r>
      <w:r>
        <w:rPr>
          <w:rFonts w:ascii="Times New Roman" w:hAnsi="Times New Roman" w:eastAsia="MS Gothic"/>
        </w:rPr>
        <w:t>‑</w:t>
      </w:r>
      <w:r>
        <w:rPr>
          <w:rFonts w:ascii="Times New Roman" w:hAnsi="Times New Roman"/>
        </w:rPr>
        <w:t>2021 林业碳汇项目审定和核证指南</w:t>
      </w:r>
    </w:p>
    <w:p w14:paraId="23506A69">
      <w:pPr>
        <w:pStyle w:val="14"/>
        <w:numPr>
          <w:ilvl w:val="0"/>
          <w:numId w:val="32"/>
        </w:numPr>
        <w:adjustRightInd/>
        <w:spacing w:after="0" w:line="240" w:lineRule="auto"/>
        <w:ind w:firstLine="420" w:firstLineChars="200"/>
        <w:rPr>
          <w:rFonts w:ascii="Times New Roman" w:hAnsi="Times New Roman"/>
        </w:rPr>
      </w:pPr>
      <w:r>
        <w:rPr>
          <w:rFonts w:ascii="Times New Roman" w:hAnsi="Times New Roman"/>
        </w:rPr>
        <w:t>Natural Capital Alliance. InVEST 3.18.0.</w:t>
      </w:r>
      <w:r>
        <w:rPr>
          <w:rFonts w:hint="default" w:ascii="Times New Roman" w:hAnsi="Times New Roman"/>
        </w:rPr>
        <w:t> </w:t>
      </w:r>
      <w:r>
        <w:rPr>
          <w:rFonts w:hint="default" w:ascii="Times New Roman" w:hAnsi="Times New Roman"/>
        </w:rPr>
        <w:fldChar w:fldCharType="begin"/>
      </w:r>
      <w:r>
        <w:rPr>
          <w:rFonts w:hint="default" w:ascii="Times New Roman" w:hAnsi="Times New Roman"/>
        </w:rPr>
        <w:instrText xml:space="preserve"> HYPERLINK "https://doi.org/10.60793/natcap-invest-3.18.0" </w:instrText>
      </w:r>
      <w:r>
        <w:rPr>
          <w:rFonts w:hint="default" w:ascii="Times New Roman" w:hAnsi="Times New Roman"/>
        </w:rPr>
        <w:fldChar w:fldCharType="separate"/>
      </w:r>
      <w:r>
        <w:rPr>
          <w:rFonts w:hint="default" w:ascii="Times New Roman" w:hAnsi="Times New Roman"/>
        </w:rPr>
        <w:t>https://doi.org/10.60793/natcap-invest-3.18.0</w:t>
      </w:r>
      <w:r>
        <w:rPr>
          <w:rFonts w:hint="default" w:ascii="Times New Roman" w:hAnsi="Times New Roman"/>
        </w:rPr>
        <w:fldChar w:fldCharType="end"/>
      </w:r>
      <w:r>
        <w:rPr>
          <w:rFonts w:hint="eastAsia" w:ascii="Times New Roman" w:hAnsi="Times New Roman"/>
          <w:lang w:val="en-US" w:eastAsia="zh-CN"/>
        </w:rPr>
        <w:t xml:space="preserve"> (2026)</w:t>
      </w:r>
    </w:p>
    <w:p w14:paraId="059F53F4">
      <w:pPr>
        <w:pStyle w:val="14"/>
        <w:numPr>
          <w:ilvl w:val="0"/>
          <w:numId w:val="32"/>
        </w:numPr>
        <w:adjustRightInd/>
        <w:spacing w:after="0" w:line="240" w:lineRule="auto"/>
        <w:ind w:firstLine="420" w:firstLineChars="200"/>
        <w:rPr>
          <w:rFonts w:ascii="Times New Roman" w:hAnsi="Times New Roman"/>
        </w:rPr>
      </w:pPr>
      <w:r>
        <w:rPr>
          <w:rFonts w:hint="eastAsia" w:ascii="Times New Roman" w:hAnsi="Times New Roman"/>
        </w:rPr>
        <w:t xml:space="preserve">Jie Yang, Xin Huang. </w:t>
      </w:r>
      <w:r>
        <w:rPr>
          <w:rFonts w:ascii="Times New Roman" w:hAnsi="Times New Roman"/>
        </w:rPr>
        <w:t>The 30 m annual land cover datasets and its dynamics in China from 1985 to 2023</w:t>
      </w:r>
      <w:r>
        <w:rPr>
          <w:rFonts w:hint="eastAsia" w:ascii="Times New Roman" w:hAnsi="Times New Roman"/>
        </w:rPr>
        <w:t xml:space="preserve">[J]. Earth System Science Data, </w:t>
      </w:r>
      <w:r>
        <w:rPr>
          <w:rFonts w:hint="eastAsia" w:ascii="Times New Roman" w:hAnsi="Times New Roman"/>
          <w:lang w:val="en-US" w:eastAsia="zh-CN"/>
        </w:rPr>
        <w:t xml:space="preserve">2024, </w:t>
      </w:r>
      <w:r>
        <w:rPr>
          <w:rFonts w:hint="eastAsia" w:ascii="Times New Roman" w:hAnsi="Times New Roman"/>
        </w:rPr>
        <w:t>13(1), 3907–3925.</w:t>
      </w:r>
    </w:p>
    <w:p w14:paraId="4C647C6D">
      <w:pPr>
        <w:pStyle w:val="14"/>
        <w:numPr>
          <w:ilvl w:val="0"/>
          <w:numId w:val="32"/>
        </w:numPr>
        <w:adjustRightInd/>
        <w:spacing w:after="0" w:line="240" w:lineRule="auto"/>
        <w:ind w:firstLine="420" w:firstLineChars="200"/>
        <w:rPr>
          <w:rFonts w:ascii="Times New Roman" w:hAnsi="Times New Roman"/>
        </w:rPr>
      </w:pPr>
      <w:r>
        <w:rPr>
          <w:rFonts w:ascii="Times New Roman" w:hAnsi="Times New Roman"/>
        </w:rPr>
        <w:t>Running, S., &amp; Zhao, M. MODIS/Terra Net Primary Production Gap-Filled Yearly L4 Global 500m SIN Grid V061 [Data set]. NASA Land Processes Distributed Active Archive Center. https://doi.org/10.5067/MODIS/MOD17A3HGF.061 </w:t>
      </w:r>
      <w:r>
        <w:rPr>
          <w:rFonts w:hint="eastAsia" w:ascii="Times New Roman" w:hAnsi="Times New Roman"/>
          <w:lang w:val="en-US" w:eastAsia="zh-CN"/>
        </w:rPr>
        <w:t>(2021)</w:t>
      </w:r>
    </w:p>
    <w:p w14:paraId="460631B2">
      <w:pPr>
        <w:pStyle w:val="14"/>
        <w:numPr>
          <w:ilvl w:val="0"/>
          <w:numId w:val="32"/>
        </w:numPr>
        <w:adjustRightInd/>
        <w:spacing w:after="0" w:line="240" w:lineRule="auto"/>
        <w:ind w:firstLine="420" w:firstLineChars="200"/>
        <w:rPr>
          <w:rFonts w:ascii="Times New Roman" w:hAnsi="Times New Roman"/>
        </w:rPr>
      </w:pPr>
      <w:r>
        <w:rPr>
          <w:rFonts w:ascii="Times New Roman" w:hAnsi="Times New Roman"/>
        </w:rPr>
        <w:t>孟现勇, 王浩. 基于世界土壤数据库（HWSD）土壤数据集. 国家青藏高原科学数据中心.</w:t>
      </w:r>
      <w:r>
        <w:rPr>
          <w:rFonts w:hint="eastAsia" w:ascii="Times New Roman" w:hAnsi="Times New Roman"/>
          <w:lang w:val="en-US" w:eastAsia="zh-CN"/>
        </w:rPr>
        <w:t>(2018).</w:t>
      </w:r>
    </w:p>
    <w:p w14:paraId="76AD5A2B">
      <w:pPr>
        <w:pStyle w:val="14"/>
        <w:numPr>
          <w:ilvl w:val="0"/>
          <w:numId w:val="32"/>
        </w:numPr>
        <w:adjustRightInd/>
        <w:spacing w:after="0" w:line="240" w:lineRule="auto"/>
        <w:ind w:firstLine="420" w:firstLineChars="200"/>
        <w:rPr>
          <w:rFonts w:ascii="Times New Roman" w:hAnsi="Times New Roman"/>
        </w:rPr>
      </w:pPr>
      <w:r>
        <w:rPr>
          <w:rFonts w:hint="eastAsia" w:ascii="Times New Roman" w:hAnsi="Times New Roman"/>
        </w:rPr>
        <w:t>Xu</w:t>
      </w:r>
      <w:r>
        <w:rPr>
          <w:rFonts w:ascii="Times New Roman" w:hAnsi="Times New Roman"/>
        </w:rPr>
        <w:t xml:space="preserve">, </w:t>
      </w:r>
      <w:r>
        <w:rPr>
          <w:rFonts w:hint="eastAsia" w:ascii="Times New Roman" w:hAnsi="Times New Roman"/>
        </w:rPr>
        <w:t>L</w:t>
      </w:r>
      <w:r>
        <w:rPr>
          <w:rFonts w:ascii="Times New Roman" w:hAnsi="Times New Roman"/>
        </w:rPr>
        <w:t>.</w:t>
      </w:r>
      <w:r>
        <w:rPr>
          <w:rFonts w:hint="eastAsia" w:ascii="Times New Roman" w:hAnsi="Times New Roman"/>
        </w:rPr>
        <w:t xml:space="preserve"> </w:t>
      </w:r>
      <w:r>
        <w:rPr>
          <w:rFonts w:ascii="Times New Roman" w:hAnsi="Times New Roman"/>
        </w:rPr>
        <w:t>et al. Carbon storage in China’s terrestrial ecosystems: A synthesis. Sci. Rep</w:t>
      </w:r>
      <w:r>
        <w:rPr>
          <w:rFonts w:hint="eastAsia" w:ascii="Times New Roman" w:hAnsi="Times New Roman"/>
        </w:rPr>
        <w:t>-UK</w:t>
      </w:r>
      <w:r>
        <w:rPr>
          <w:rFonts w:ascii="Times New Roman" w:hAnsi="Times New Roman"/>
        </w:rPr>
        <w:t>. 8, 2806</w:t>
      </w:r>
      <w:r>
        <w:rPr>
          <w:rFonts w:hint="eastAsia" w:ascii="Times New Roman" w:hAnsi="Times New Roman"/>
        </w:rPr>
        <w:t>; 10.1038/s41598-018-20764-9</w:t>
      </w:r>
      <w:r>
        <w:rPr>
          <w:rFonts w:ascii="Times New Roman" w:hAnsi="Times New Roman"/>
        </w:rPr>
        <w:t xml:space="preserve"> (2018).</w:t>
      </w:r>
    </w:p>
    <w:p w14:paraId="73692206">
      <w:pPr>
        <w:pStyle w:val="14"/>
        <w:numPr>
          <w:ilvl w:val="0"/>
          <w:numId w:val="32"/>
        </w:numPr>
        <w:adjustRightInd/>
        <w:spacing w:after="0" w:line="240" w:lineRule="auto"/>
        <w:ind w:firstLine="420" w:firstLineChars="200"/>
        <w:rPr>
          <w:rFonts w:ascii="Times New Roman" w:hAnsi="Times New Roman"/>
        </w:rPr>
      </w:pPr>
      <w:r>
        <w:rPr>
          <w:rFonts w:ascii="Times New Roman" w:hAnsi="Times New Roman"/>
        </w:rPr>
        <w:t>张智洋, 赵颖慧, 甄贞. 基于LUCC的1986–2022年松花江流域陆地生态系统碳储量动态监测[J]. 植物生态学报. 2024, 48(10): 1274-1290.</w:t>
      </w:r>
    </w:p>
    <w:p w14:paraId="234B2A81">
      <w:pPr>
        <w:pStyle w:val="60"/>
        <w:ind w:firstLine="420"/>
        <w:rPr>
          <w:rFonts w:ascii="Times New Roman"/>
        </w:rPr>
      </w:pPr>
      <w:bookmarkStart w:id="119" w:name="_GoBack"/>
      <w:bookmarkEnd w:id="119"/>
    </w:p>
    <w:p w14:paraId="15AA671D">
      <w:pPr>
        <w:pStyle w:val="60"/>
        <w:ind w:firstLine="420"/>
        <w:rPr>
          <w:rFonts w:ascii="Times New Roman"/>
        </w:rPr>
      </w:pPr>
    </w:p>
    <w:p w14:paraId="45428B9E">
      <w:pPr>
        <w:pStyle w:val="60"/>
        <w:ind w:firstLine="420"/>
        <w:rPr>
          <w:rFonts w:ascii="Times New Roman"/>
        </w:rPr>
      </w:pPr>
    </w:p>
    <w:p w14:paraId="24F2FC33">
      <w:pPr>
        <w:pStyle w:val="60"/>
        <w:ind w:firstLine="420"/>
        <w:rPr>
          <w:rFonts w:ascii="Times New Roman"/>
        </w:rPr>
      </w:pPr>
    </w:p>
    <w:p w14:paraId="18C1F52A">
      <w:pPr>
        <w:pStyle w:val="60"/>
        <w:ind w:firstLine="420"/>
        <w:rPr>
          <w:rFonts w:ascii="Times New Roman"/>
        </w:rPr>
      </w:pPr>
    </w:p>
    <w:p w14:paraId="63E70E6B">
      <w:pPr>
        <w:pStyle w:val="60"/>
        <w:ind w:firstLine="420"/>
        <w:rPr>
          <w:rFonts w:ascii="Times New Roman"/>
        </w:rPr>
      </w:pPr>
    </w:p>
    <w:bookmarkEnd w:id="24"/>
    <w:p w14:paraId="3221079F">
      <w:pPr>
        <w:pStyle w:val="202"/>
        <w:rPr>
          <w:rFonts w:ascii="Times New Roman" w:hAnsi="Times New Roman"/>
          <w:vanish w:val="0"/>
        </w:rPr>
      </w:pPr>
      <w:bookmarkStart w:id="117" w:name="BookMark5"/>
    </w:p>
    <w:p w14:paraId="382E360E">
      <w:pPr>
        <w:pStyle w:val="203"/>
        <w:rPr>
          <w:rFonts w:ascii="Times New Roman"/>
          <w:vanish w:val="0"/>
        </w:rPr>
      </w:pPr>
    </w:p>
    <w:bookmarkEnd w:id="117"/>
    <w:p w14:paraId="5FDC8203">
      <w:pPr>
        <w:pStyle w:val="60"/>
        <w:ind w:firstLine="0" w:firstLineChars="0"/>
        <w:jc w:val="center"/>
      </w:pPr>
      <w:bookmarkStart w:id="118" w:name="BookMark8"/>
      <w:r>
        <w:rPr>
          <w:rFonts w:hint="eastAsia"/>
        </w:rPr>
        <w:drawing>
          <wp:inline distT="0" distB="0" distL="0" distR="0">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5">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118"/>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rif">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A4DF4">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CE175">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4C835">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6843A">
    <w:pPr>
      <w:pStyle w:val="56"/>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233C3">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2B48D">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609B8">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A606B">
    <w:pPr>
      <w:pStyle w:val="65"/>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04529">
    <w:pPr>
      <w:pStyle w:val="20"/>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6FA50831"/>
    <w:multiLevelType w:val="singleLevel"/>
    <w:tmpl w:val="6FA50831"/>
    <w:lvl w:ilvl="0" w:tentative="0">
      <w:start w:val="1"/>
      <w:numFmt w:val="decimal"/>
      <w:suff w:val="space"/>
      <w:lvlText w:val="[%1]"/>
      <w:lvlJc w:val="left"/>
    </w:lvl>
  </w:abstractNum>
  <w:abstractNum w:abstractNumId="31">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1A1"/>
    <w:rsid w:val="000E4C9E"/>
    <w:rsid w:val="000E6FD7"/>
    <w:rsid w:val="000E7144"/>
    <w:rsid w:val="000F06E1"/>
    <w:rsid w:val="000F0E3C"/>
    <w:rsid w:val="000F19D5"/>
    <w:rsid w:val="000F4050"/>
    <w:rsid w:val="000F4AEA"/>
    <w:rsid w:val="000F67E9"/>
    <w:rsid w:val="000F7F7E"/>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6FA5"/>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014"/>
    <w:rsid w:val="0041477A"/>
    <w:rsid w:val="004167A3"/>
    <w:rsid w:val="00421B6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372CC"/>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264C"/>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4F05"/>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3EA"/>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527D"/>
    <w:rsid w:val="008269DD"/>
    <w:rsid w:val="00830621"/>
    <w:rsid w:val="0083348C"/>
    <w:rsid w:val="008373D3"/>
    <w:rsid w:val="00840302"/>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1947"/>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DA8"/>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108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53"/>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494F"/>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1ED1"/>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052F"/>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8D7A14"/>
    <w:rsid w:val="027D4F23"/>
    <w:rsid w:val="051C2CDE"/>
    <w:rsid w:val="08E92ED7"/>
    <w:rsid w:val="0CE045F1"/>
    <w:rsid w:val="1C9B22E3"/>
    <w:rsid w:val="1D9E208B"/>
    <w:rsid w:val="1EA20C03"/>
    <w:rsid w:val="22730512"/>
    <w:rsid w:val="2B6A39AF"/>
    <w:rsid w:val="2D6329A9"/>
    <w:rsid w:val="2D7244B9"/>
    <w:rsid w:val="2F4853CE"/>
    <w:rsid w:val="47A77AC7"/>
    <w:rsid w:val="481132D5"/>
    <w:rsid w:val="493F41BC"/>
    <w:rsid w:val="4BED3A19"/>
    <w:rsid w:val="4D0B0C3B"/>
    <w:rsid w:val="5083109D"/>
    <w:rsid w:val="544D15C8"/>
    <w:rsid w:val="54A92AE8"/>
    <w:rsid w:val="5E6E797B"/>
    <w:rsid w:val="697B45FB"/>
    <w:rsid w:val="6C450EF0"/>
    <w:rsid w:val="6CFB740D"/>
    <w:rsid w:val="6E697118"/>
    <w:rsid w:val="74657BAC"/>
    <w:rsid w:val="7628522F"/>
    <w:rsid w:val="7A195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qFormat/>
    <w:uiPriority w:val="0"/>
    <w:pPr>
      <w:ind w:firstLine="643" w:firstLineChars="200"/>
      <w:jc w:val="left"/>
    </w:pPr>
    <w:rPr>
      <w:b/>
      <w:bCs/>
      <w:sz w:val="32"/>
      <w:szCs w:val="32"/>
    </w:rPr>
  </w:style>
  <w:style w:type="paragraph" w:styleId="14">
    <w:name w:val="Body Text"/>
    <w:basedOn w:val="1"/>
    <w:link w:val="90"/>
    <w:qFormat/>
    <w:uiPriority w:val="0"/>
    <w:pPr>
      <w:spacing w:after="120"/>
    </w:pPr>
  </w:style>
  <w:style w:type="paragraph" w:styleId="15">
    <w:name w:val="Block Text"/>
    <w:basedOn w:val="1"/>
    <w:qFormat/>
    <w:uiPriority w:val="0"/>
    <w:pPr>
      <w:spacing w:after="120" w:afterLines="0" w:afterAutospacing="0"/>
      <w:ind w:left="1440" w:leftChars="700" w:rightChars="70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Normal (Web)"/>
    <w:basedOn w:val="1"/>
    <w:semiHidden/>
    <w:unhideWhenUsed/>
    <w:qFormat/>
    <w:uiPriority w:val="99"/>
    <w:rPr>
      <w:sz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FollowedHyperlink"/>
    <w:basedOn w:val="31"/>
    <w:qFormat/>
    <w:uiPriority w:val="0"/>
    <w:rPr>
      <w:color w:val="800080"/>
      <w:u w:val="single"/>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20"/>
    <w:qFormat/>
    <w:uiPriority w:val="99"/>
    <w:rPr>
      <w:kern w:val="2"/>
      <w:sz w:val="18"/>
      <w:szCs w:val="18"/>
    </w:rPr>
  </w:style>
  <w:style w:type="character" w:customStyle="1" w:styleId="48">
    <w:name w:val="页脚 字符"/>
    <w:link w:val="19"/>
    <w:qFormat/>
    <w:uiPriority w:val="99"/>
    <w:rPr>
      <w:rFonts w:ascii="宋体"/>
      <w:kern w:val="2"/>
      <w:sz w:val="18"/>
      <w:szCs w:val="18"/>
    </w:rPr>
  </w:style>
  <w:style w:type="character" w:customStyle="1" w:styleId="49">
    <w:name w:val="批注框文本 字符"/>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8"/>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标题03"/>
    <w:basedOn w:val="1"/>
    <w:qFormat/>
    <w:uiPriority w:val="0"/>
    <w:pPr>
      <w:adjustRightInd/>
      <w:spacing w:before="50" w:beforeLines="50" w:after="50" w:afterLines="50" w:line="240" w:lineRule="auto"/>
      <w:contextualSpacing/>
    </w:pPr>
    <w:rPr>
      <w:rFonts w:ascii="Times New Roman" w:hAnsi="Times New Roman" w:eastAsia="黑体"/>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glossaryDocument" Target="glossary/document.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2.jpeg"/><Relationship Id="rId34" Type="http://schemas.openxmlformats.org/officeDocument/2006/relationships/image" Target="media/image11.wmf"/><Relationship Id="rId33" Type="http://schemas.openxmlformats.org/officeDocument/2006/relationships/oleObject" Target="embeddings/oleObject9.bin"/><Relationship Id="rId32" Type="http://schemas.openxmlformats.org/officeDocument/2006/relationships/image" Target="media/image10.wmf"/><Relationship Id="rId31" Type="http://schemas.openxmlformats.org/officeDocument/2006/relationships/oleObject" Target="embeddings/oleObject8.bin"/><Relationship Id="rId30" Type="http://schemas.openxmlformats.org/officeDocument/2006/relationships/image" Target="media/image9.wmf"/><Relationship Id="rId3" Type="http://schemas.openxmlformats.org/officeDocument/2006/relationships/footnotes" Target="footnotes.xml"/><Relationship Id="rId29" Type="http://schemas.openxmlformats.org/officeDocument/2006/relationships/oleObject" Target="embeddings/oleObject7.bin"/><Relationship Id="rId28" Type="http://schemas.openxmlformats.org/officeDocument/2006/relationships/image" Target="media/image8.wmf"/><Relationship Id="rId27" Type="http://schemas.openxmlformats.org/officeDocument/2006/relationships/oleObject" Target="embeddings/oleObject6.bin"/><Relationship Id="rId26" Type="http://schemas.openxmlformats.org/officeDocument/2006/relationships/image" Target="media/image7.wmf"/><Relationship Id="rId25" Type="http://schemas.openxmlformats.org/officeDocument/2006/relationships/oleObject" Target="embeddings/oleObject5.bin"/><Relationship Id="rId24" Type="http://schemas.openxmlformats.org/officeDocument/2006/relationships/image" Target="media/image6.wmf"/><Relationship Id="rId23" Type="http://schemas.openxmlformats.org/officeDocument/2006/relationships/oleObject" Target="embeddings/oleObject4.bin"/><Relationship Id="rId22" Type="http://schemas.openxmlformats.org/officeDocument/2006/relationships/image" Target="media/image5.wmf"/><Relationship Id="rId21" Type="http://schemas.openxmlformats.org/officeDocument/2006/relationships/oleObject" Target="embeddings/oleObject3.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wmf"/><Relationship Id="rId17" Type="http://schemas.openxmlformats.org/officeDocument/2006/relationships/oleObject" Target="embeddings/oleObject1.bin"/><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60B3DD1B9A4E6FADEA1F14FE5D7CF7"/>
        <w:style w:val=""/>
        <w:category>
          <w:name w:val="常规"/>
          <w:gallery w:val="placeholder"/>
        </w:category>
        <w:types>
          <w:type w:val="bbPlcHdr"/>
        </w:types>
        <w:behaviors>
          <w:behavior w:val="content"/>
        </w:behaviors>
        <w:description w:val=""/>
        <w:guid w:val="{4F83092E-AC20-4BDB-83EB-F1D3EC7CF5F9}"/>
      </w:docPartPr>
      <w:docPartBody>
        <w:p w14:paraId="6B70388E">
          <w:pPr>
            <w:pStyle w:val="5"/>
            <w:rPr>
              <w:rFonts w:hint="eastAsia"/>
            </w:rPr>
          </w:pPr>
          <w:r>
            <w:rPr>
              <w:rStyle w:val="4"/>
              <w:rFonts w:hint="eastAsia"/>
            </w:rPr>
            <w:t>单击或点击此处输入文字。</w:t>
          </w:r>
        </w:p>
      </w:docPartBody>
    </w:docPart>
    <w:docPart>
      <w:docPartPr>
        <w:name w:val="44964857B3304D3F85ADEA1958BBAA1C"/>
        <w:style w:val=""/>
        <w:category>
          <w:name w:val="常规"/>
          <w:gallery w:val="placeholder"/>
        </w:category>
        <w:types>
          <w:type w:val="bbPlcHdr"/>
        </w:types>
        <w:behaviors>
          <w:behavior w:val="content"/>
        </w:behaviors>
        <w:description w:val=""/>
        <w:guid w:val="{B1CB82F7-F80B-4EE7-89C5-348843994B5F}"/>
      </w:docPartPr>
      <w:docPartBody>
        <w:p w14:paraId="270EC9F7">
          <w:pPr>
            <w:pStyle w:val="6"/>
            <w:rPr>
              <w:rFonts w:hint="eastAsia"/>
            </w:rPr>
          </w:pPr>
          <w:r>
            <w:rPr>
              <w:rStyle w:val="4"/>
              <w:rFonts w:hint="eastAsia"/>
            </w:rPr>
            <w:t>选择一项。</w:t>
          </w:r>
        </w:p>
      </w:docPartBody>
    </w:docPart>
    <w:docPart>
      <w:docPartPr>
        <w:name w:val="C75CC5BF48274D0BA729340F467564C5"/>
        <w:style w:val=""/>
        <w:category>
          <w:name w:val="常规"/>
          <w:gallery w:val="placeholder"/>
        </w:category>
        <w:types>
          <w:type w:val="bbPlcHdr"/>
        </w:types>
        <w:behaviors>
          <w:behavior w:val="content"/>
        </w:behaviors>
        <w:description w:val=""/>
        <w:guid w:val="{85D272D1-5966-44DB-BD52-E649131FA5BF}"/>
      </w:docPartPr>
      <w:docPartBody>
        <w:p w14:paraId="70327EC6">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D39"/>
    <w:rsid w:val="000A294A"/>
    <w:rsid w:val="00275FAE"/>
    <w:rsid w:val="00595CC0"/>
    <w:rsid w:val="009E0D39"/>
    <w:rsid w:val="00A91381"/>
    <w:rsid w:val="00B07349"/>
    <w:rsid w:val="00BC7E76"/>
    <w:rsid w:val="00C1042C"/>
    <w:rsid w:val="00D216E2"/>
    <w:rsid w:val="00DD4996"/>
    <w:rsid w:val="00E11ED1"/>
    <w:rsid w:val="00F0373C"/>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60B3DD1B9A4E6FADEA1F14FE5D7C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4964857B3304D3F85ADEA1958BBAA1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75CC5BF48274D0BA729340F467564C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8</Pages>
  <Words>3944</Words>
  <Characters>5196</Characters>
  <Lines>172</Lines>
  <Paragraphs>192</Paragraphs>
  <TotalTime>32</TotalTime>
  <ScaleCrop>false</ScaleCrop>
  <LinksUpToDate>false</LinksUpToDate>
  <CharactersWithSpaces>5720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2024-12-31T01:40:00Z</dcterms:created>
  <dc:creator>微软用户</dc:creator>
  <dc:description>&lt;config cover="true" show_menu="true" version="1.0.0" doctype="SDKXY"&gt;_x000d_
&lt;/config&gt;</dc:description>
  <cp:lastModifiedBy>企业用户_889459695</cp:lastModifiedBy>
  <cp:lastPrinted>2021-02-02T08:22:00Z</cp:lastPrinted>
  <dcterms:modified xsi:type="dcterms:W3CDTF">2026-03-20T02:20:49Z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6EE541BD8A4D497EA22AB61B4B2CA1A0_13</vt:lpwstr>
  </property>
  <property fmtid="{D5CDD505-2E9C-101B-9397-08002B2CF9AE}" pid="16" name="KSOTemplateDocerSaveRecord">
    <vt:lpwstr>eyJoZGlkIjoiODVhNmJmODA5ZGRlNWIzNWNiM2QzZWQwNjNiODJhNjgiLCJ1c2VySWQiOiIxNTM0MDc2OTY5In0=</vt:lpwstr>
  </property>
</Properties>
</file>